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49E" w:rsidRDefault="003A549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549E" w:rsidRDefault="003A549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549E" w:rsidRPr="003A549E" w:rsidRDefault="003A549E" w:rsidP="003A549E">
      <w:pPr>
        <w:widowControl w:val="0"/>
        <w:suppressAutoHyphens/>
        <w:autoSpaceDE w:val="0"/>
        <w:autoSpaceDN w:val="0"/>
        <w:adjustRightInd w:val="0"/>
        <w:spacing w:after="0" w:line="360" w:lineRule="auto"/>
        <w:jc w:val="center"/>
        <w:rPr>
          <w:rFonts w:ascii="Times New Roman CYR" w:hAnsi="Times New Roman CYR" w:cs="Times New Roman CYR"/>
          <w:b/>
          <w:sz w:val="28"/>
          <w:szCs w:val="28"/>
        </w:rPr>
      </w:pPr>
      <w:r w:rsidRPr="003A549E">
        <w:rPr>
          <w:rFonts w:ascii="Times New Roman CYR" w:hAnsi="Times New Roman CYR" w:cs="Times New Roman CYR"/>
          <w:b/>
          <w:sz w:val="28"/>
          <w:szCs w:val="28"/>
        </w:rPr>
        <w:t>Основные направления совершенствования финансово-хозяйственной деятельности</w:t>
      </w:r>
    </w:p>
    <w:p w:rsidR="003A549E" w:rsidRDefault="003A549E" w:rsidP="003A549E">
      <w:pPr>
        <w:widowControl w:val="0"/>
        <w:suppressAutoHyphen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3A549E" w:rsidRDefault="003A549E" w:rsidP="003A549E">
      <w:pPr>
        <w:widowControl w:val="0"/>
        <w:suppressAutoHyphen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2013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Теоретические аспекты анализа финансово-хозяйственной деятельности предприятия</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Содержание, задачи и принципы анализа эффективности финансово-хозяйственной деятельности предприятия</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Информационная основа для проведения оценки эффективности финансово-хозяйственной деятельности предприятия</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Методика оценки эффективности финансово-хозяйственной деятельности предприятия</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Экономическая оценка деятельности предприятия МУП «Еланское КХ»</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Финансово - экономическая характеристика МУП «Еланское КХ»</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структуры и динамики имущества МУП «Еланское КХ»</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Анализ финансового состояния МУП «Еланское КХ» </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Основные направления совершенствования финансово-хозяйственной деятельности МУП «Еланское КХ»</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Мероприятия, направленные на ускорение оборачиваемости расчетов с дебиторами и кредиторами</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Оценка эффективности предложенных мероприятий</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 литературы</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Приложения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эффективного функционирования организаций требует экономически грамотного управления их деятельностью, которое во много м определяется умением ее анализировать. С помощью анализа изучаются тенденции развития, глубоко и системно исследуются факторы изменения результатов деятельности, обосновываются бизнес-планы и управленческие решения, осуществляется контроль за их выполнением, выявляются резервы повышения эффективности производства, оцениваются и прогнозируются результаты деятельности хозяйствующего субъекта, вырабатывается экономическая стратегия его развития. </w:t>
      </w:r>
    </w:p>
    <w:p w:rsidR="00E45C61" w:rsidRPr="00E45C61" w:rsidRDefault="00E45C61" w:rsidP="00E45C61">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E45C61">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E45C61" w:rsidRDefault="00211B07" w:rsidP="00E45C6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E45C61" w:rsidRPr="00E45C61">
          <w:rPr>
            <w:rFonts w:ascii="Times New Roman CYR" w:eastAsia="Times New Roman" w:hAnsi="Times New Roman CYR" w:cs="Times New Roman CYR"/>
            <w:b/>
            <w:color w:val="FF0000"/>
            <w:sz w:val="28"/>
            <w:szCs w:val="28"/>
            <w:u w:val="single"/>
            <w:lang w:val="en-US"/>
          </w:rPr>
          <w:t>http</w:t>
        </w:r>
        <w:r w:rsidR="00E45C61" w:rsidRPr="00E45C61">
          <w:rPr>
            <w:rFonts w:ascii="Times New Roman CYR" w:eastAsia="Times New Roman" w:hAnsi="Times New Roman CYR" w:cs="Times New Roman CYR"/>
            <w:b/>
            <w:color w:val="FF0000"/>
            <w:sz w:val="28"/>
            <w:szCs w:val="28"/>
            <w:u w:val="single"/>
          </w:rPr>
          <w:t>://учебники.информ2000.рф/</w:t>
        </w:r>
        <w:r w:rsidR="00E45C61" w:rsidRPr="00E45C61">
          <w:rPr>
            <w:rFonts w:ascii="Times New Roman CYR" w:eastAsia="Times New Roman" w:hAnsi="Times New Roman CYR" w:cs="Times New Roman CYR"/>
            <w:b/>
            <w:color w:val="FF0000"/>
            <w:sz w:val="28"/>
            <w:szCs w:val="28"/>
            <w:u w:val="single"/>
            <w:lang w:val="en-US"/>
          </w:rPr>
          <w:t>diplom</w:t>
        </w:r>
        <w:r w:rsidR="00E45C61" w:rsidRPr="00E45C61">
          <w:rPr>
            <w:rFonts w:ascii="Times New Roman CYR" w:eastAsia="Times New Roman" w:hAnsi="Times New Roman CYR" w:cs="Times New Roman CYR"/>
            <w:b/>
            <w:color w:val="FF0000"/>
            <w:sz w:val="28"/>
            <w:szCs w:val="28"/>
            <w:u w:val="single"/>
          </w:rPr>
          <w:t>.</w:t>
        </w:r>
        <w:r w:rsidR="00E45C61" w:rsidRPr="00E45C61">
          <w:rPr>
            <w:rFonts w:ascii="Times New Roman CYR" w:eastAsia="Times New Roman" w:hAnsi="Times New Roman CYR" w:cs="Times New Roman CYR"/>
            <w:b/>
            <w:color w:val="FF0000"/>
            <w:sz w:val="28"/>
            <w:szCs w:val="28"/>
            <w:u w:val="single"/>
            <w:lang w:val="en-US"/>
          </w:rPr>
          <w:t>shtml</w:t>
        </w:r>
      </w:hyperlink>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хозяйственной деятельности предприятий является научной базой принятия управленческих решений в бизнесе. Для их обоснования необходимо выявлять и прогнозировать существующие и потенциальные проблемы, производственные и финансовые риски, определять воздействие принимаемых решений на уровень рисков и достижение целей предприятия. В силу этого освоение основ экономического анализа полезно каждому, кому приходится принимать решения или давать рекомендации по их принятию.</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когда предприятия приобретают все большую самостоятельность и несут полную ответственность за результаты своей производственно-хозяйственной деятельности перед совладельцами, работниками, банком и кредиторами, значение анализа финансового состояния предприятия в комплексном анализе деятельности возросло. В условиях рыночной экономики залогом выживания предприятия является его конкурентоспособность. В связи с этим от предприятия требуется повышение эффективности производства, внедрение новых форм хозяйствования и </w:t>
      </w:r>
      <w:r>
        <w:rPr>
          <w:rFonts w:ascii="Times New Roman CYR" w:hAnsi="Times New Roman CYR" w:cs="Times New Roman CYR"/>
          <w:sz w:val="28"/>
          <w:szCs w:val="28"/>
        </w:rPr>
        <w:lastRenderedPageBreak/>
        <w:t>управления, которое должно сопровождаться укреплением его финансового положения. При этом резко возрастает значение финансовой устойчивости субъектов хозяйствования.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экономических условиях деятельность каждого хозяйствующего субъекта является предметом внимания обширного круга участников рыночных отношений, заинтересованных в результатах его функционирования. Конкурентоспособность предприятия может обеспечить только правильное управление движением финансовых ресурсов и капитала, находящихся в его распоряжении.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анализа - выявление и оценка тенденций развития финансовых процессов на предприятии. Менеджеру эта информация необходима для разработки адекватных управленческих решений по снижению риска и повышению доходности финансово-экономической деятельности предприятия, инвестору - для решения вопроса о целесообразности инвестирования, банкам - для определения условий кредитования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данного дипломного проекта очевидна, исходя из выше сказанного, поскольку деятельность современного предприятия невозможно представить без ее финансово-хозяйственного анализа.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целью настоящей дипломной работы, является: проведение экономического анализа, характеризующего наличие, размещение и использование ресурсов предприятия, а также оценивающего результаты работы предприятия с целью выявления резервов повышения эффективности производства.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будет проводится по деятельности предприятия МУП «Еланское КХ», краткая характеристика которого представлена во второй главе.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указанной цели в работе предполагается решение следующих задач:</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изложить и систематизировать теоретические методические основы анализа финансово-экономического состояния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произвести расчеты основных показателей финансовой деятельности на примере конкретного предприятия и сделать выводы о его платежеспособности, деловой активности и рентабельности;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мероприятие по улучшению показателей деятельности рассмотренного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написания дипломной работы является вся совокупность приемов и методов, с помощью которых исследуется уровень финансового развития изучаемой организации: методы, основанные на мнениях компетентных специалистов и методы, основанные на конкретных математических расчетах.</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Дипломная работа состоит из трех глав: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 рассматриваются основные понятия анализа финансово-хозяйственной деятельности предприятия, делается краткий исторический экскурс в развитие данной темы, перечисляются основные виды и методы экономического анализа, а также приводятся основные показатели оценки финансовой деятельности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 производится расчет показателей финансовой деятельности конкретного предприятия, и выявляются основные проблемы его функционирования;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 предлагается решение выявленных проблем посредством конкретного мероприятия.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источниками информации для написания дипломной работы послужили краткое описание исследуемого предприятия и его бухгалтерская отчетность, а именно форма № 1 (Бухгалтерский баланс), форма № 2 (Отчет о прибылях и убытках).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аспекты анализа финансово-хозяйственной деятельности предприятия</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Содержание, задачи и принципы анализа эффективности финансово-хозяйственной деятельности предприятия</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финансово-хозяйственной деятельности (АФХД) предприятия является связующим звеном между учетом и принятием управленческих решений. В процессе его учетная информация проходит аналитическую обработку: проводится сравнение достигнутых результатов деятельности с данными за прошлые периоды времени, с показателями других предприятий и среднеотраслевыми; определяется влияние разнообразных факторов на результаты хозяйственной деятельности; выявляются недостатки, ошибки, неиспользованные возможности, перспективы и др. С помощью АФХД достигается осмысление, понимание информации. На основе результатов анализа разрабатываются и обосновываются управленческие решения. Экономический анализ предшествует решениям и действиям, обосновывает их и является основой научного управления производством, повышает его эффективность.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функция управления, АФХД тесно связан с планированием и прогнозированием производства, поскольку без глубокого анализа невозможно осуществление этих функций. Важная роль принадлежит АФХД в подготовке информации для планирования, оценки качества и обоснованности плановых показателей, в проверке и объективной оценке выполнения планов. Утверждение планов для предприятия, по существу, также представляет собой принятие решений, которые обеспечивают развитие производства в будущем планируемом отрезке времени. При этом учитываются результаты выполнения предыдущих </w:t>
      </w:r>
      <w:r>
        <w:rPr>
          <w:rFonts w:ascii="Times New Roman CYR" w:hAnsi="Times New Roman CYR" w:cs="Times New Roman CYR"/>
          <w:sz w:val="28"/>
          <w:szCs w:val="28"/>
        </w:rPr>
        <w:lastRenderedPageBreak/>
        <w:t xml:space="preserve">планов, изучаются тенденции развития предприятия, изыскиваются и учитываются дополнительные резервы производства. АФХД является средством не только обоснования планов, но и контроля за их выполнением [11, с. 123].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роль отводится анализу в определении и использовании резервов повышения эффективности производства. Он содействует рационализации, экономному использованию ресурсов, выявлению и внедрению передового опыта, научной организации труда, новой техники и технологии производства, предупреждению излишних затрат, недостатков в работе и т.д. В результате этого укрепляется экономика предприятия, повышается эффективность его деятельности [4, с. 53].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литературных источниках встречаются различные подходы к определению того, что является предметом АФХД. Самый простой (и наиболее разработанный еще в эпоху социалистического хозяйствования) подход подразумевает, что предметом анализа является использование предприятием своих материальных и трудовых ресурсов с точки зрения выполнения «спущенных сверху» производственных планов. Более широкий подход относит к сфере анализа финансово-хозяйственной деятельности все хозяйственные процессы, включая производственное планирование на самом предприятии и оценку результативности использования всех ресурсов, в том числе финансовых.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самом же деле, в самом общем смысле предметом анализа финансово-хозяйственной деятельности можно считать структуру и содержание информационных потоков на предприятии. Говоря о финансово-хозяйственной деятельности субъекта хозяйствования, следует принимать во внимание следующие ее особенности: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функционирование предприятия, его деловая активность носит цикличный характер. Анализ рекомендуется проводить на всех фазах экономического цикла;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во-вторых, на ход хозяйственных процессов оказывают влияние множество факторов объективного и субъективного характера. Все эти факторы в процессе АФХД необходимо тщательно изучать;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для отражения полной картины состояния предприятия важны не только количественные, но и качественные характеристики его деловой активности. Их анализ - важная часть АФХД;</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в-четвертых, анализу на предприятии подвергается не только производственная и финансовая сфера, но и юридические, социальные и экологические аспекты его функционирования;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в-пятых, не следует отождествлять предметы и сферы деятельности бухгалтерского учета и анализа финансово-хозяйственной деятельности. Хотя обе науки изучают хозяйственную деятельность экономических субъектов, главная задача первой из них состоит в сплошном и непрерывном учете хозяйственных средств и их источников, причем в денежном измерении [24, с. 89].</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Содержанием АФХД является глубокое и всестороннее изучение экономической информации о функционировании анализируемого субъекта хозяйствования с целью принятия оптимальных управленческих решений по обеспечению выполнения производственных программ предприятия, оценки уровня их выполнения, выявления слабых мест и внутрихозяйственных резервов.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должен представлять собой комплексное исследование действия внешних и внутренних, рыночных и производственных факторов на количество и качество производимой предприятием продукции, финансовые показатели работы предприятия и указывать возможные перспективы развития дальнейшей производственной деятельности предприятия в выбранной области хозяйствования.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Успешность анализа определяется различными факторами. С известной </w:t>
      </w:r>
      <w:r>
        <w:rPr>
          <w:rFonts w:ascii="Times New Roman CYR" w:hAnsi="Times New Roman CYR" w:cs="Times New Roman CYR"/>
          <w:sz w:val="28"/>
          <w:szCs w:val="28"/>
        </w:rPr>
        <w:lastRenderedPageBreak/>
        <w:t xml:space="preserve">долей условности можно выделить несколько основных принципов, которые целесообразно иметь в виду, приступая к анализу [35, с. 43].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прежде чем начать выполнение каких-либо аналитических процедур, необходимо составить достаточно четкую программу анализа, включая проработку макетов аналитических таблиц, алгоритмов расчета основных показателей и требуемых для их расчета и сравнительной оценки источников информационного и нормативного обеспечения. Анализ проводится на основе учетной информации, поэтому начинать его следует с отбора необходимых данных и экспертизы материалов, предоставленных для анализа [26, с. 258].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при проведении аналитических процедур показатели деятельности предприятия всегда с чем-то сравниваются. Сравнения могут проводиться с предыдущим периодом, с планом и со среднеотраслевыми показателями. Любые отклонения от нормативных или плановых значений показателей, даже если они имеют позитивный характер, должны тщательно анализироваться. Смысл такого анализа состоит в том, чтобы, с одной стороны, выявить основные факторы, вызвавшие зафиксированные отклонения от заданных ориентиров, а с другой стороны, еще раз проверить обоснованность принятой системы планирования и, если необходимо, внести в нее изменения. Следует подчеркнуть, что последний аспект имеет особое значение - только путем постоянного анализа и корректировки можно наладить достаточно стройную систему планирования и поддерживать ее в актуальном состоянии.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завершенность и цельность любого анализа, имеющего экономическую направленность, в значительной степени определяются обоснованностью используемой совокупности критериев. Как правило, эта совокупность включает качественные и количественные оценки, а ее основу обычно составляют исчисляемые показатели, имеющие понятную </w:t>
      </w:r>
      <w:r>
        <w:rPr>
          <w:rFonts w:ascii="Times New Roman CYR" w:hAnsi="Times New Roman CYR" w:cs="Times New Roman CYR"/>
          <w:sz w:val="28"/>
          <w:szCs w:val="28"/>
        </w:rPr>
        <w:lastRenderedPageBreak/>
        <w:t xml:space="preserve">интерпретацию и, по возможности, некоторые ориентиры (пределы, нормативы, тенденции). Отбирая показатели, необходимо формулировать логику их объединения в данную совокупность, для того чтобы была видна роль каждого из них и не создавалось впечатления, что какой-то аспект остался неохваченным или, напротив, не вписывается в рассматриваемую схему. Иными словами, совокупность показателей, которую вполне возможно в этом случае трактовать как систему, должна иметь некий внутренний стержень, некую основу, объясняющую логику ее построения [16, с. 73].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выполняя анализ, не нужно без необходимости гнаться за точностью оценок. Как правило, наибольшую ценность представляет выявление тенденций и закономерностей.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цель проведения анализа - повышение эффективности функционирования хозяйствующих субъектов и поиск резервов такого повышения. Для достижения этой цели проводятся: оценка результатов работы за прошедшие периоды; разработка процедур оперативного контроля за производственной деятельностью; выработка мер по предупреждению негативных явлений в деятельности предприятия и в ее финансовых результатах; вскрытие резервов повышения результативности деятельности; разработка обоснованных планов и нормативов [21, с. 358].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достижения основной цели анализа решаются следующие задачи: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базовых показателей для разработки производственных планов и программ на предстоящий период;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научно-экономической обоснованности планов и нормативов;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объективное и всестороннее изучение выполнения установленных планов и соблюдения нормативов по количеству, структуре и качеству продукции, работ и услуг;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определение экономической эффективности использования материальных, трудовых и финансовых ресурсов;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прогнозирование результатов хозяйствования;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аналитических материалов для выбора оптимальных управленческих решений, связанных с корректировкой текущей деятельности и разработкой стратегических планов [31, с. 47].</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Содержательная сторона анализа включает следующие элементы (процедуры):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постановка и уяснение конкретных задач анализа;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причинно-следственных связей;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показателей и методов их оценки;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выявление и оценка факторов, влияющих на результаты, отбор наиболее существенных;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путей устранения влияния отрицательных факторов и стимулирования положительных [12, с. 123].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субъектов хозяйствования - совершать экономический выбор. Отдельно взятые предприятия осуществляют в условиях рынка четыре фундаментальных экономических выбора: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и в каком количестве следует производить;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производить;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должен выполнять определенную работу, используя преимущества общественного труда;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кого должны быть предназначены результаты производства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экономического анализа на микроуровне невозможно сделать выбор.</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финансово-хозяйственной деятельности предприятия осуществляется в основном по данным годовой и квартальной бухгалтерской отчетности и в первую очередь по данным бухгалтерского баланса и отчета о </w:t>
      </w:r>
      <w:r>
        <w:rPr>
          <w:rFonts w:ascii="Times New Roman CYR" w:hAnsi="Times New Roman CYR" w:cs="Times New Roman CYR"/>
          <w:sz w:val="28"/>
          <w:szCs w:val="28"/>
        </w:rPr>
        <w:lastRenderedPageBreak/>
        <w:t>прибылях и убытках [14, с. 65].</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Финансово-хозяйственная деятельность охватывает процессы формирования, движения и обеспечения сохранности имущества предприятия, контроля за его использованием, являясь результатом взаимодействия всех элементов системы финансовых отношений предприятия, и поэтому определяется совокупностью производственно-хозяйственных факторов.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финансово-хозяйственной деятельности являются: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динамики состава и структуры прибыли;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динамики состава и структуры финансовых результатов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абсолютных и относительных показателей финансово-хозяйственной деятельности предприятия [6, с. 48].</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задача АФХД - оценка результатов хозяйственной деятельности, выявление факторов, обусловивших успехи и неудачи в анализируемом периоде, а также планирование и прогнозирование деятельности предприятия на будущее. Она решается с помощью не только стоимостных данных бухгалтерского учета, но и данных оперативного и статистического учета в различных единицах измерения.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финансово-хозяйственной деятельности предприятия может быть выполнена с различной степенью детализации в зависимости от цели анализа, имеющейся информации, программного, технического и кадрового обеспечения. Наиболее целесообразным является выделение процедур экспресс-анализа и углубленного анализа финансово-хозяйственной деятельности предприятия [20, с. 64].</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финансово-хозяйственной деятельности предприятия включает:</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результатов прибыли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коэффициентов рентабельности;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безубыточности;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Важная роль в укреплении и развитии экономики предприятий принадлежит получаемой ими прибыли от своей финансово-хозяйственной деятельности. Прибыль как главный результат предпринимательской деятельности обеспечивает потребности самого предприятия, его работников и государства в целом. Учет прибыли позволяет установить, насколько эффективно ведется хозяйственная деятельность [30, с. 413].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рентабельности и деловой активности заключается в исследовании уровня и динамики разнообразных финансовых коэффициентов.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безубыточности или анализ издержек, прибыли и объема производства, как его иногда называют - это аналитический подход к изучению взаимосвязи между издержками и доходом при различных уровнях производства. Анализ безубыточности полезен также для текущего управления, так как он обеспечивает информацией для принятия решения путем анализа влияния изменений в цене продукции, производстве и объемах продаж и издержках, а так же прогнозирования прибылей, убытков и потоков денежных средств.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условиях рыночной экономики оценка эффективности финансово-хозяйственной деятельности играет важную роль в деловой жизни хозяйствующих субъектов, так как после проведения данной оценки руководители предприятий смогут принимать все необходимые решения связанные с управлением, координацией и оптимизацией деятельности предприятия. Предприятие будет нормально функционировать при обеспеченности финансовыми ресурсами, целесообразном их размещении и </w:t>
      </w:r>
      <w:r>
        <w:rPr>
          <w:rFonts w:ascii="Times New Roman CYR" w:hAnsi="Times New Roman CYR" w:cs="Times New Roman CYR"/>
          <w:sz w:val="28"/>
          <w:szCs w:val="28"/>
        </w:rPr>
        <w:lastRenderedPageBreak/>
        <w:t>эффективном использовании. Оценка эффективности финансово-хозяйственной деятельности необходима для своевременного выявления и устранения недостатков в развитии организации, а также выявления резервов для улучшения финансового состояния организации и обеспечения финансовой устойчивости ее деятельности.</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Информационная основа для проведения оценки эффективности финансово-хозяйственной деятельности предприятия</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Успешность работы линейных и функциональных руководителей и специалистов зависит от различных видов обеспечения их деятельности: правового, информационного, нормативного, технического, кадрового и т.п. К числу ключевых элементов этой системы, без сомнения, относится информационное обеспечение, под которым следует понимать совокупность информационных ресурсов (информационную базу) и способов их организации, необходимых и пригодных для реализации аналитических и управленческих процедур, обеспечивающих финансово-хозяйственную деятельность данного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Представление информационной базы, естественно, не является единственно возможным или полностью исчерпывающим. Тем не менее, даже такое представление позволяет судить о том, что информационные ресурсы на любом предприятии достаточно обширны. От тщательности их организации в значительной степени зависит успешность работы предприятия, а также возможности аналитического обоснования управленческих решений.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источниками информации для анализа финансово-хозяйственной деятельности предприятия являются данные бухгалтерского учета и отчетности. Согласно ПБУ 4/99 «Бухгалтерская </w:t>
      </w:r>
      <w:r>
        <w:rPr>
          <w:rFonts w:ascii="Times New Roman CYR" w:hAnsi="Times New Roman CYR" w:cs="Times New Roman CYR"/>
          <w:sz w:val="28"/>
          <w:szCs w:val="28"/>
        </w:rPr>
        <w:lastRenderedPageBreak/>
        <w:t>отчетность организации», утвержденному приказом Минфина России от 6 июля 1999 г. № 43н, в состав годовой отчетности включаются: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бухгалтерский баланс (форма № 1);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 прибылях и убытках (форма № 2);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об изменении капитала (форма № 3);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 движении денежных средств (форма № 4);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приложение к бухгалтерскому балансу (форма № 5);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пояснительная записка;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аудиторское заключение (если предприятие должно проводить ежегодную аудиторскую проверку) [3].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содержащиеся в этих формах, обеспечивают различные группы пользователей информацией, необходимой для обоснования решений об оценке результатов деятельности организации за истекший период.</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Внешние пользователи (поставщики, банки, инвесторы и др.) по результатам анализа отчетности хозяйствующего субъекта могут принять решения о развитии или свертывании партнерских отношений, приобретении акций, условии предоставления кредитов и т.д.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пользователи, то есть собственники и управляющие, анализируют отчетность с целью выявления устойчивых позитивных и негативных тенденций, обоснования путей укрепления финансовой устойчивости и роста рентабельности капитала [15, с. 53].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полная информация для анализа содержится в форме № 1 «Бухгалтерском балансе» - документе бухгалтерского учета, представляющем совокупность показателей, обрисовывающих картину финансового и хозяйственного состояния фирмы на определенную дату, чаще всего - на конец или начало календарного периода. Это способ группировки имущества и обязательств организации в денежном выражении, призванный характеризовать </w:t>
      </w:r>
      <w:r>
        <w:rPr>
          <w:rFonts w:ascii="Times New Roman CYR" w:hAnsi="Times New Roman CYR" w:cs="Times New Roman CYR"/>
          <w:sz w:val="28"/>
          <w:szCs w:val="28"/>
        </w:rPr>
        <w:lastRenderedPageBreak/>
        <w:t xml:space="preserve">ее финансовое положение. Наличие бухгалтерского баланса - один из признаков хозяйственной самостоятельности предприятия. Баланс состоит из двух частей (актива и пассива баланса). Активы баланса отражают состав и размещение хозяйственных средств фирмы, а пассивы баланса - источники образования этих средств и их целевое использование. Актив баланса в сумме равен его пассиву [19, с. 412].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активы в зависимости от сроков пользования ими (т.е. периода времени, необходимого для обращения их стоимости снова в денежную форму) разделяются в балансе на внеоборотные (долгосрочные) и оборотные (текущие). К внеоборотным активам относятся нематериальные активы, введенные в эксплуатацию основные средства, незавершенное строительство, долгосрочные финансовые вложения. Эти активы отражаются в балансе в I разделе «Внеоборотные активы». Текущие или оборотные активы отражаются во II разделе баланса и к ним относятся: производственные запасы, сырье и материалы, товары для перепродажи, незавершенное производство, готовая продукция, дебиторская задолженность, краткосрочные финансовые вложения, денежные средства. При анализе следует учесть, что объем, состав и структура активов отражают отраслевую принадлежность организации, специфику и масштабы деятельности [33, с. 325].</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финансирования активов отражены в трех разделах пассива баланса: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III - капитал и резервы;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IV - долгосрочные обязательства;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V - краткосрочные обязательства.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финансово-хозяйственной деятельности организации все источники средств необходимо объединять в группы по следующим признакам:</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их правовой принадлежности: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собственные источники (собственный капитал);</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обязательства (долги организации третьим лицам) [22, с. 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источников средств по указанному признаку необходима для оценки рациональности структуры источников финансирования и динамики финансовых рисков.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сроков пользования отдельными источниками средств выделяют:</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обязательства, к которым относятся собственный капитал и долгосрочные обязательства;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обязательства, к которым относятся краткосрочные кредиты и кредиторская задолженность.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активов и источников их финансирования в разных сферах деятельности неодинакова. В отраслях с высоким удельным весом основных средств в общей сумме источников финансирования значительную долю занимает собственный капитал. В сфере обслуживания и в торговых организациях, где существенную долю занимают оборотные активы (например, товарные запасы или дебиторская задолженность), преобладают краткосрочные источники средств [29, с. 483].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каждой конкретной сферы деятельности существует своя оптимальная структура активов и источников средств, исходя из которой устанавливаются критериальные значения основных финансовых коэффициентов.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финансовых результатов и рентабельности используется «Отчет о прибылях и убытках» (форма № 2), в которой отражается формирование финансовых результатов от текущей, операционной и внереализационной деятельности.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 прибылях и убытках - отчет о доходах, расходах компании и </w:t>
      </w:r>
      <w:r>
        <w:rPr>
          <w:rFonts w:ascii="Times New Roman CYR" w:hAnsi="Times New Roman CYR" w:cs="Times New Roman CYR"/>
          <w:sz w:val="28"/>
          <w:szCs w:val="28"/>
        </w:rPr>
        <w:lastRenderedPageBreak/>
        <w:t>разности между ними за определенный период; характеризует финансово-хозяйственную деятельность компании, изменение ее капитала [25, с. 511].</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форме № 2 отражается величина балансовой прибыли или убытка и отдельные слагаемые этого показателя: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прибыль/убытки от реализации продукции;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операционные доходы и расходы (положительные и отрицательные курсовые разницы);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и расходы от прочей внереализационной деятельности (штрафы, безнадежные долги).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представлены: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предприятия на производство реализованной продукции по полной или производственной стоимости;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расходы, управленческие расходы;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выручка нетто от реализации продукции;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налога на прибыль, отложенные налоговые обязательства (ОНО), активы (ОНА) и постоянные налоговые обязательства (активы) (ПНО(А));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[28, с. 12].</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 является важнейшим источником для анализа показателей рентабельности предприятия, рентабельности реализованной продукции, рентабельности производства продукции, а также для определения величины чистой прибыли.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изменений отдельных источников формирования собственного капитала и способности к самофинансированию используется форма № 3 «Отчет об изменении капитала». В отчете об изменениях капитала отражаются показатели, характеризующие формирование уставного, добавочного, резервного капитала и нераспределенной прибыли (непокрытого убытка).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«Отчет о движении денежных средств» (форма № 4) содержит информацию о притоках и оттоках денежных средств по текущей, инвестиционной и финансовой деятельности организации.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годовой бухгалтерской отчетности входит форма № 5 - «Приложение к бухгалтерскому балансу». В ней приводят данные о наличии и движении в течение отчетного периода некоторых активов, расходов и обязательств.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любое предприятие в той или иной степени постоянно нуждается в дополнительных источниках финансирования.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Найти их можно на рынке капиталов, привлекая потенциальных инвесторов и кредиторов путем объективного информирования их о своей финансово-хозяйственной деятельности, то есть в основном с помощью финансовой отчетности.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Насколько привлекательны опубликованные финансовые результаты, показывающие текущее и перспективное финансовое состояние предприятия, настолько высока и вероятность получения дополнительных источников финансирования [34, с. 698].</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формирования отчетной информации должны соблюдаться определенные ограничения на информацию, включаемую в отчетность: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оптимальное соотношение затрат и выгод, означающее, что затраты на составление отчетности должны разумно соотноситься с выгодами, извлекаемыми предприятием от представления этих данных заинтересованным пользователям;</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осторожности (консерватизма) предполагает, что документы отчетности не должны допускать завышенной оценки активов и прибыли и заниженной оценки обязательств;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конфиденциальность требует, чтобы отчетная информация не содержала </w:t>
      </w:r>
      <w:r>
        <w:rPr>
          <w:rFonts w:ascii="Times New Roman CYR" w:hAnsi="Times New Roman CYR" w:cs="Times New Roman CYR"/>
          <w:sz w:val="28"/>
          <w:szCs w:val="28"/>
        </w:rPr>
        <w:lastRenderedPageBreak/>
        <w:t xml:space="preserve">данных, которые могут нанести ущерб конкурентным позициям предприятия.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Пользователи информации различны, цели их конкурентны, а нередко и противоположны. Также различных пользователей бухгалтерской отчетности интересуют только определенные показатели финансовых результатов.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администрацию предприятия интересуют масса полученной прибыли и ее структура, факторы, воздействующие на ее величину, налоговые инспекции заинтересованы в получении достоверной информации обо всех слагаемых налогооблагаемой базы прибыли [27, с. 123].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информационное обеспечение является необходимым и пригодным для реализации аналитических и управленческих процедур, обеспечивающих финансово-хозяйственную деятельность предприятия. Значимость бухгалтерской отчетности для проведения анализа финансово-хозяйственной деятельности предприятия многоаспектна. С позиции финансовых аналитиков, бухгалтерская отчетность, ввиду своей формализованности по обязательности ведения, содержанию, форме и срокам представления, имеет безусловный приоритет.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бухгалтерская отчетность в совокупности со статистической и текущей информацией финансового характера, публикуемой соответствующими агентствами в виде аналитических обзоров о состоянии рынка капитала, позволяет получить первое и достаточно объективное представление о состоянии и тенденциях изменения экономического потенциала возможного контрагента или объекта инвестиций.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Методика оценки эффективности финансово-хозяйственной деятельности предприятия</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условием устойчивого в финансово-экономическом ракурсе </w:t>
      </w:r>
      <w:r>
        <w:rPr>
          <w:rFonts w:ascii="Times New Roman CYR" w:hAnsi="Times New Roman CYR" w:cs="Times New Roman CYR"/>
          <w:sz w:val="28"/>
          <w:szCs w:val="28"/>
        </w:rPr>
        <w:lastRenderedPageBreak/>
        <w:t>функционирования и развития хозяйствующих субъектов является обеспечение их не простого повторяющегося в течение ряда лет неизменного объема воспроизводства, а расширенного, создающего предпосылки упрочения экономической мощи и стабильности организаций. При этом важная роль в укреплении и развитии экономики предприятий принадлежит получаемой ими прибыли от своей финансово-хозяйственной деятельности [17, с. 23].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является основным показателем финансово-хозяйственной деятельности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 это доход предприятия, получаемый от производства и реализации продукции, оказания различных услуг, выполнения работ промышленного характера, операций с ценными бумагами и другие. Прибыль является конечным финансовым результатом предпринимательской деятельности предприятий и в общем, виде представляет собой разницу между ценой продукции и ее себестоимостью, а в целом по предприятию представляет разницу между выручкой от реализации продукции и себестоимостью реализованной продукции. Прибыль как главный результат предпринимательской деятельности обеспечивает потребности самого предприятия, его работников и государства в целом. Учет прибыли позволяет установить, насколько эффективно ведется хозяйственная деятельность предприятия [32, с. 89].</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относится к группе качественных абсолютных показателей, характеризующих эффективность работы предприятия. Как экономическая категория прибыль отражает чистый доход, созданный в сфере материального производства в процессе предпринимательской деятельности, а в условиях товарно-денежных отношений на уровне предприятия чистый доход принимает форму прибыли.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прибыли являются: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изучить динамику прибыли и ее слагаемых;</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оценку выполнения плана по прибыли;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факторный анализ прибыли от реализации продукции (работ, услуг);</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неиспользуемые резервы повышения прибыли и наметить мероприятия, направленные на их мобилизацию.</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информации для анализа прибыли являются: форма № 1 «Бухгалтерский баланс», форма № 2 «Отчет о прибылях и убытках», данные о прибыли из бизнес-плана и бухгалтерского учета по различным счетам.</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современном этапе развития выделяют несколько трактовок прибыли в зависимости от методов исчисления: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[23, с. 258].</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Бухгалтерская прибыль - прибыль от предпринимательской деятельности, рассчитанная по бухгалтерским документам без учета документально не зафиксированных издержек самого предпринимателя, в том числе упущенной выгоды. Прибыль, определяемая на основании данных бухгалтерского учета, представляет собой разницу между доходами от различных видов деятельности и внешними издержками. В настоящее время в бухгалтерском учете выделяют пять видов прибыли: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валовую прибыль;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от продаж;</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до налогообложения;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от обычной деятельности;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чистую прибыль (нераспределенная прибыль (убыток) отчетного периода).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прибыль - это разница между доходами и экономическими издержками, включающими наряду с общими издержками альтернативные </w:t>
      </w:r>
      <w:r>
        <w:rPr>
          <w:rFonts w:ascii="Times New Roman CYR" w:hAnsi="Times New Roman CYR" w:cs="Times New Roman CYR"/>
          <w:sz w:val="28"/>
          <w:szCs w:val="28"/>
        </w:rPr>
        <w:lastRenderedPageBreak/>
        <w:t>издержки; исчисляется как разность между бухгалтерской и нормальной прибылью предпринимателя.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 определяется как разница между выручкой от продажи товаров, продукции, работ, услуг (за минусом НДС, акцизов и аналогичных обязательных платежей) и себестоимостью проданных товаров, продукции, работ и услуг. Выручку от реализации товаров, продукции, работ и услуг называют доходами от обычных видов деятельности. Валовую прибыль рассчитывают по формуле (1.1):</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Пвал = ВР - С (1.1)</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ВР - выручка от реализации продукции (товаров, работ, услуг);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 себестоимостью проданных товаров, продукции, работ и услуг.</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данной формулы следует, что любое изменение выручки или себестоимости влечет за собой адекватное изменение прибыли. Предприятие получает прибыль, если выручка от продаж превышает себестоимость реализованной продукции (работ, услуг) [18, с. 6].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от продаж является основной составляющей балансовой прибыли предприятия, поскольку отражает результат от регулярно осуществляемой деятельности по производству и реализации изделий (оказа-нию услуг), являющейся целью создания предприятия. Прибыль (убыток) от продаж представляет собой валовую прибыль за вычетом управленческих и коммерческих расходов и рассчитывается по формуле (1.2):</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Ппр = Пвал - Ру - Рк (1.2)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Ру - расходы на управление;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Рк - коммерческие расходы.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факторами, влияющими на размер прибыли от продаж является: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реализованной продукции;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реализованной продукции;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расходы;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расходы;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продажные цены на реализованную продукцию;</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структурные сдвиги в составе реализации.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изменение соотношения их в общем объеме продаж может способствовать увеличению прибыли или вызвать ее сокращение. Например: если в общем объеме продаж увеличивается доля более рентабельной продукции, то в этом случае прибыль будет увеличиваться, а при сокращении ее, уменьшаться. Это дает возможность финансовому менеджеру управлять финансовыми результатами от реализации. Важная роль при анализе прибыли рассматриваемого предприятия отводится методике анализа динамики и состава прибыли, анализу определения суммы чистой прибыли, факторного анализа прибыли от продаж, проведенной на основе информации, содержащейся в форме № 2. Формализованный расчет прибыли от реализации продукции можно представить в виде формулы (1.3):</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 = Vрп </w:t>
      </w:r>
      <w:r w:rsidR="003A549E">
        <w:rPr>
          <w:rFonts w:ascii="Microsoft Sans Serif" w:hAnsi="Microsoft Sans Serif" w:cs="Microsoft Sans Serif"/>
          <w:noProof/>
          <w:sz w:val="17"/>
          <w:szCs w:val="17"/>
        </w:rPr>
        <w:drawing>
          <wp:inline distT="0" distB="0" distL="0" distR="0">
            <wp:extent cx="271145" cy="2457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5" cy="245745"/>
                    </a:xfrm>
                    <a:prstGeom prst="rect">
                      <a:avLst/>
                    </a:prstGeom>
                    <a:noFill/>
                    <a:ln>
                      <a:noFill/>
                    </a:ln>
                  </pic:spPr>
                </pic:pic>
              </a:graphicData>
            </a:graphic>
          </wp:inline>
        </w:drawing>
      </w:r>
      <w:r>
        <w:rPr>
          <w:rFonts w:ascii="Times New Roman CYR" w:hAnsi="Times New Roman CYR" w:cs="Times New Roman CYR"/>
          <w:sz w:val="28"/>
          <w:szCs w:val="28"/>
        </w:rPr>
        <w:t xml:space="preserve"> * (Ц</w:t>
      </w:r>
      <w:r w:rsidR="003A549E">
        <w:rPr>
          <w:rFonts w:ascii="Microsoft Sans Serif" w:hAnsi="Microsoft Sans Serif" w:cs="Microsoft Sans Serif"/>
          <w:noProof/>
          <w:sz w:val="17"/>
          <w:szCs w:val="17"/>
        </w:rPr>
        <w:drawing>
          <wp:inline distT="0" distB="0" distL="0" distR="0">
            <wp:extent cx="762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С</w:t>
      </w:r>
      <w:r w:rsidR="003A549E">
        <w:rPr>
          <w:rFonts w:ascii="Microsoft Sans Serif" w:hAnsi="Microsoft Sans Serif" w:cs="Microsoft Sans Serif"/>
          <w:noProof/>
          <w:sz w:val="17"/>
          <w:szCs w:val="17"/>
        </w:rPr>
        <w:drawing>
          <wp:inline distT="0" distB="0" distL="0" distR="0">
            <wp:extent cx="762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(1.3)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Vрп</w:t>
      </w:r>
      <w:r w:rsidR="003A549E">
        <w:rPr>
          <w:rFonts w:ascii="Microsoft Sans Serif" w:hAnsi="Microsoft Sans Serif" w:cs="Microsoft Sans Serif"/>
          <w:noProof/>
          <w:sz w:val="17"/>
          <w:szCs w:val="17"/>
        </w:rPr>
        <w:drawing>
          <wp:inline distT="0" distB="0" distL="0" distR="0">
            <wp:extent cx="271145" cy="2457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5" cy="245745"/>
                    </a:xfrm>
                    <a:prstGeom prst="rect">
                      <a:avLst/>
                    </a:prstGeom>
                    <a:noFill/>
                    <a:ln>
                      <a:noFill/>
                    </a:ln>
                  </pic:spPr>
                </pic:pic>
              </a:graphicData>
            </a:graphic>
          </wp:inline>
        </w:drawing>
      </w:r>
      <w:r>
        <w:rPr>
          <w:rFonts w:ascii="Times New Roman CYR" w:hAnsi="Times New Roman CYR" w:cs="Times New Roman CYR"/>
          <w:sz w:val="28"/>
          <w:szCs w:val="28"/>
        </w:rPr>
        <w:t xml:space="preserve"> - общий объем реализованной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w:t>
      </w:r>
      <w:r w:rsidR="003A549E">
        <w:rPr>
          <w:rFonts w:ascii="Microsoft Sans Serif" w:hAnsi="Microsoft Sans Serif" w:cs="Microsoft Sans Serif"/>
          <w:noProof/>
          <w:sz w:val="17"/>
          <w:szCs w:val="17"/>
        </w:rPr>
        <w:drawing>
          <wp:inline distT="0" distB="0" distL="0" distR="0">
            <wp:extent cx="762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средняя цена единицы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w:t>
      </w:r>
      <w:r w:rsidR="003A549E">
        <w:rPr>
          <w:rFonts w:ascii="Microsoft Sans Serif" w:hAnsi="Microsoft Sans Serif" w:cs="Microsoft Sans Serif"/>
          <w:noProof/>
          <w:sz w:val="17"/>
          <w:szCs w:val="17"/>
        </w:rPr>
        <w:drawing>
          <wp:inline distT="0" distB="0" distL="0" distR="0">
            <wp:extent cx="762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средняя себестоимость единицы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проанализировать прибыль от реализации продукции (работ, услуг), необходимо дать общую оценку изменения прибыли, представленную в формуле (1.4):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5455" cy="2457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455" cy="245745"/>
                    </a:xfrm>
                    <a:prstGeom prst="rect">
                      <a:avLst/>
                    </a:prstGeom>
                    <a:noFill/>
                    <a:ln>
                      <a:noFill/>
                    </a:ln>
                  </pic:spPr>
                </pic:pic>
              </a:graphicData>
            </a:graphic>
          </wp:inline>
        </w:drawing>
      </w:r>
      <w:r w:rsidR="00E63CBB">
        <w:rPr>
          <w:rFonts w:ascii="Times New Roman CYR" w:hAnsi="Times New Roman CYR" w:cs="Times New Roman CYR"/>
          <w:sz w:val="28"/>
          <w:szCs w:val="28"/>
        </w:rPr>
        <w:t>= Пi1 - Пi0 (1.4)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Пi1 - прибыль отчетного периода;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Пi0 - прибыль базового периода.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Затем необходимо определить количественное влияние изменения факторов на величину прибыли от реализации продукции [8, с. 123].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факторов на сумму прибыли можно выполнить способом цепной подстановки, используя данные, приведены в таблице 1.1.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1.1 Исходные данные для факторного анализа прибыли от реализации продукции,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9"/>
        <w:gridCol w:w="1851"/>
        <w:gridCol w:w="2817"/>
        <w:gridCol w:w="1808"/>
      </w:tblGrid>
      <w:tr w:rsidR="001E3379">
        <w:trPr>
          <w:jc w:val="center"/>
        </w:trPr>
        <w:tc>
          <w:tcPr>
            <w:tcW w:w="252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Базовый период (</w:t>
            </w:r>
            <w:r w:rsidR="003A549E">
              <w:rPr>
                <w:rFonts w:ascii="Microsoft Sans Serif" w:hAnsi="Microsoft Sans Serif" w:cs="Microsoft Sans Serif"/>
                <w:noProof/>
                <w:sz w:val="17"/>
                <w:szCs w:val="17"/>
              </w:rPr>
              <w:drawing>
                <wp:inline distT="0" distB="0" distL="0" distR="0">
                  <wp:extent cx="127000" cy="2286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Pr>
                <w:rFonts w:ascii="Times New Roman CYR" w:hAnsi="Times New Roman CYR" w:cs="Times New Roman CYR"/>
                <w:sz w:val="20"/>
                <w:szCs w:val="20"/>
              </w:rPr>
              <w:t>)Данные базового периода, пересчитанные на объем продаж отчетного периодаОтчетный период (</w:t>
            </w:r>
            <w:r w:rsidR="003A549E">
              <w:rPr>
                <w:rFonts w:ascii="Microsoft Sans Serif" w:hAnsi="Microsoft Sans Serif" w:cs="Microsoft Sans Serif"/>
                <w:noProof/>
                <w:sz w:val="17"/>
                <w:szCs w:val="17"/>
              </w:rPr>
              <w:drawing>
                <wp:inline distT="0" distB="0" distL="0" distR="0">
                  <wp:extent cx="11874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228600"/>
                          </a:xfrm>
                          <a:prstGeom prst="rect">
                            <a:avLst/>
                          </a:prstGeom>
                          <a:noFill/>
                          <a:ln>
                            <a:noFill/>
                          </a:ln>
                        </pic:spPr>
                      </pic:pic>
                    </a:graphicData>
                  </a:graphic>
                </wp:inline>
              </w:drawing>
            </w:r>
            <w:r>
              <w:rPr>
                <w:rFonts w:ascii="Times New Roman CYR" w:hAnsi="Times New Roman CYR" w:cs="Times New Roman CYR"/>
                <w:sz w:val="20"/>
                <w:szCs w:val="20"/>
              </w:rPr>
              <w:t>)</w:t>
            </w:r>
          </w:p>
        </w:tc>
        <w:tc>
          <w:tcPr>
            <w:tcW w:w="2817"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808"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252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bl>
    <w:p w:rsidR="001E3379" w:rsidRDefault="00E63CBB">
      <w:pPr>
        <w:widowControl w:val="0"/>
        <w:autoSpaceDE w:val="0"/>
        <w:autoSpaceDN w:val="0"/>
        <w:adjustRightInd w:val="0"/>
        <w:spacing w:after="0" w:line="240" w:lineRule="auto"/>
        <w:ind w:hanging="108"/>
        <w:rPr>
          <w:rFonts w:ascii="Times New Roman CYR" w:hAnsi="Times New Roman CYR" w:cs="Times New Roman CYR"/>
          <w:sz w:val="20"/>
          <w:szCs w:val="20"/>
        </w:rPr>
      </w:pPr>
      <w:r>
        <w:rPr>
          <w:rFonts w:ascii="Times New Roman CYR" w:hAnsi="Times New Roman CYR" w:cs="Times New Roman CYR"/>
          <w:sz w:val="20"/>
          <w:szCs w:val="20"/>
        </w:rPr>
        <w:t>Выручка (нетто) от реализации, продукции, товаров, услуг (В)</w:t>
      </w:r>
      <w:r>
        <w:rPr>
          <w:rFonts w:ascii="Times New Roman CYR" w:hAnsi="Times New Roman CYR" w:cs="Times New Roman CYR"/>
          <w:sz w:val="20"/>
          <w:szCs w:val="20"/>
        </w:rPr>
        <w:tab/>
      </w:r>
      <w:r w:rsidR="003A549E">
        <w:rPr>
          <w:rFonts w:ascii="Microsoft Sans Serif" w:hAnsi="Microsoft Sans Serif" w:cs="Microsoft Sans Serif"/>
          <w:noProof/>
          <w:sz w:val="17"/>
          <w:szCs w:val="17"/>
        </w:rPr>
        <w:drawing>
          <wp:inline distT="0" distB="0" distL="0" distR="0">
            <wp:extent cx="948055" cy="2540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055" cy="254000"/>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948055" cy="2540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055" cy="2540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9"/>
        <w:gridCol w:w="1851"/>
        <w:gridCol w:w="2817"/>
      </w:tblGrid>
      <w:tr w:rsidR="001E3379">
        <w:trPr>
          <w:jc w:val="center"/>
        </w:trPr>
        <w:tc>
          <w:tcPr>
            <w:tcW w:w="2529" w:type="dxa"/>
            <w:tcBorders>
              <w:top w:val="single" w:sz="6" w:space="0" w:color="auto"/>
              <w:left w:val="single" w:sz="6" w:space="0" w:color="auto"/>
              <w:bottom w:val="single" w:sz="6" w:space="0" w:color="auto"/>
              <w:right w:val="single" w:sz="6" w:space="0" w:color="auto"/>
            </w:tcBorders>
          </w:tcPr>
          <w:p w:rsidR="001E3379" w:rsidRDefault="003A549E">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39800" cy="25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800" cy="254000"/>
                          </a:xfrm>
                          <a:prstGeom prst="rect">
                            <a:avLst/>
                          </a:prstGeom>
                          <a:noFill/>
                          <a:ln>
                            <a:noFill/>
                          </a:ln>
                        </pic:spPr>
                      </pic:pic>
                    </a:graphicData>
                  </a:graphic>
                </wp:inline>
              </w:drawing>
            </w:r>
          </w:p>
        </w:tc>
        <w:tc>
          <w:tcPr>
            <w:tcW w:w="1851"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2817"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bl>
    <w:p w:rsidR="001E3379" w:rsidRDefault="00E63CBB">
      <w:pPr>
        <w:widowControl w:val="0"/>
        <w:autoSpaceDE w:val="0"/>
        <w:autoSpaceDN w:val="0"/>
        <w:adjustRightInd w:val="0"/>
        <w:spacing w:after="0" w:line="240" w:lineRule="auto"/>
        <w:ind w:hanging="108"/>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ре-алиизованной продукции (C)</w:t>
      </w:r>
      <w:r>
        <w:rPr>
          <w:rFonts w:ascii="Times New Roman CYR" w:hAnsi="Times New Roman CYR" w:cs="Times New Roman CYR"/>
          <w:sz w:val="20"/>
          <w:szCs w:val="20"/>
        </w:rPr>
        <w:tab/>
      </w:r>
      <w:r w:rsidR="003A549E">
        <w:rPr>
          <w:rFonts w:ascii="Microsoft Sans Serif" w:hAnsi="Microsoft Sans Serif" w:cs="Microsoft Sans Serif"/>
          <w:noProof/>
          <w:sz w:val="17"/>
          <w:szCs w:val="17"/>
        </w:rPr>
        <w:drawing>
          <wp:inline distT="0" distB="0" distL="0" distR="0">
            <wp:extent cx="931545" cy="2540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931545" cy="2540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9"/>
        <w:gridCol w:w="1851"/>
        <w:gridCol w:w="2817"/>
        <w:gridCol w:w="1808"/>
      </w:tblGrid>
      <w:tr w:rsidR="001E3379">
        <w:trPr>
          <w:gridAfter w:val="1"/>
          <w:wAfter w:w="1808" w:type="dxa"/>
          <w:jc w:val="center"/>
        </w:trPr>
        <w:tc>
          <w:tcPr>
            <w:tcW w:w="2529" w:type="dxa"/>
            <w:tcBorders>
              <w:top w:val="single" w:sz="6" w:space="0" w:color="auto"/>
              <w:left w:val="single" w:sz="6" w:space="0" w:color="auto"/>
              <w:bottom w:val="single" w:sz="6" w:space="0" w:color="auto"/>
              <w:right w:val="single" w:sz="6" w:space="0" w:color="auto"/>
            </w:tcBorders>
          </w:tcPr>
          <w:p w:rsidR="001E3379" w:rsidRDefault="003A549E">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14400" cy="25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54000"/>
                          </a:xfrm>
                          <a:prstGeom prst="rect">
                            <a:avLst/>
                          </a:prstGeom>
                          <a:noFill/>
                          <a:ln>
                            <a:noFill/>
                          </a:ln>
                        </pic:spPr>
                      </pic:pic>
                    </a:graphicData>
                  </a:graphic>
                </wp:inline>
              </w:drawing>
            </w:r>
          </w:p>
        </w:tc>
        <w:tc>
          <w:tcPr>
            <w:tcW w:w="1851"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2817"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252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(П)=(В)-(C)</w:t>
            </w:r>
          </w:p>
        </w:tc>
        <w:tc>
          <w:tcPr>
            <w:tcW w:w="1851" w:type="dxa"/>
            <w:tcBorders>
              <w:top w:val="single" w:sz="6" w:space="0" w:color="auto"/>
              <w:left w:val="single" w:sz="6" w:space="0" w:color="auto"/>
              <w:bottom w:val="single" w:sz="6" w:space="0" w:color="auto"/>
              <w:right w:val="single" w:sz="6" w:space="0" w:color="auto"/>
            </w:tcBorders>
          </w:tcPr>
          <w:p w:rsidR="001E3379" w:rsidRDefault="003A549E">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48055" cy="2540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055" cy="254000"/>
                          </a:xfrm>
                          <a:prstGeom prst="rect">
                            <a:avLst/>
                          </a:prstGeom>
                          <a:noFill/>
                          <a:ln>
                            <a:noFill/>
                          </a:ln>
                        </pic:spPr>
                      </pic:pic>
                    </a:graphicData>
                  </a:graphic>
                </wp:inline>
              </w:drawing>
            </w:r>
            <w:r w:rsidR="00E63CBB">
              <w:rPr>
                <w:rFonts w:ascii="Times New Roman CYR" w:hAnsi="Times New Roman CYR" w:cs="Times New Roman CYR"/>
                <w:sz w:val="20"/>
                <w:szCs w:val="20"/>
              </w:rPr>
              <w:t xml:space="preserve"> - </w:t>
            </w:r>
            <w:r>
              <w:rPr>
                <w:rFonts w:ascii="Microsoft Sans Serif" w:hAnsi="Microsoft Sans Serif" w:cs="Microsoft Sans Serif"/>
                <w:noProof/>
                <w:sz w:val="17"/>
                <w:szCs w:val="17"/>
              </w:rPr>
              <w:drawing>
                <wp:inline distT="0" distB="0" distL="0" distR="0">
                  <wp:extent cx="931545" cy="2540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48055" cy="25400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055" cy="254000"/>
                          </a:xfrm>
                          <a:prstGeom prst="rect">
                            <a:avLst/>
                          </a:prstGeom>
                          <a:noFill/>
                          <a:ln>
                            <a:noFill/>
                          </a:ln>
                        </pic:spPr>
                      </pic:pic>
                    </a:graphicData>
                  </a:graphic>
                </wp:inline>
              </w:drawing>
            </w:r>
            <w:r w:rsidR="00E63CBB">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931545" cy="2540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39800" cy="25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800" cy="254000"/>
                          </a:xfrm>
                          <a:prstGeom prst="rect">
                            <a:avLst/>
                          </a:prstGeom>
                          <a:noFill/>
                          <a:ln>
                            <a:noFill/>
                          </a:ln>
                        </pic:spPr>
                      </pic:pic>
                    </a:graphicData>
                  </a:graphic>
                </wp:inline>
              </w:drawing>
            </w:r>
            <w:r w:rsidR="00E63CBB">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914400" cy="25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54000"/>
                          </a:xfrm>
                          <a:prstGeom prst="rect">
                            <a:avLst/>
                          </a:prstGeom>
                          <a:noFill/>
                          <a:ln>
                            <a:noFill/>
                          </a:ln>
                        </pic:spPr>
                      </pic:pic>
                    </a:graphicData>
                  </a:graphic>
                </wp:inline>
              </w:drawing>
            </w:r>
          </w:p>
        </w:tc>
        <w:tc>
          <w:tcPr>
            <w:tcW w:w="2817"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808"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прибыли от реализации в целом по предприятию </w:t>
      </w:r>
      <w:r>
        <w:rPr>
          <w:rFonts w:ascii="Times New Roman CYR" w:hAnsi="Times New Roman CYR" w:cs="Times New Roman CYR"/>
          <w:sz w:val="28"/>
          <w:szCs w:val="28"/>
        </w:rPr>
        <w:lastRenderedPageBreak/>
        <w:t>рассчитываются следующие показатели: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прибыли базового периода рассчитывается по формуле (1.5):</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w:t>
      </w:r>
      <w:r w:rsidR="003A549E">
        <w:rPr>
          <w:rFonts w:ascii="Microsoft Sans Serif" w:hAnsi="Microsoft Sans Serif" w:cs="Microsoft Sans Serif"/>
          <w:noProof/>
          <w:sz w:val="17"/>
          <w:szCs w:val="17"/>
        </w:rPr>
        <w:drawing>
          <wp:inline distT="0" distB="0" distL="0" distR="0">
            <wp:extent cx="127000" cy="2286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3A549E">
        <w:rPr>
          <w:rFonts w:ascii="Microsoft Sans Serif" w:hAnsi="Microsoft Sans Serif" w:cs="Microsoft Sans Serif"/>
          <w:noProof/>
          <w:sz w:val="17"/>
          <w:szCs w:val="17"/>
        </w:rPr>
        <w:drawing>
          <wp:inline distT="0" distB="0" distL="0" distR="0">
            <wp:extent cx="948055" cy="2540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055" cy="2540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3A549E">
        <w:rPr>
          <w:rFonts w:ascii="Microsoft Sans Serif" w:hAnsi="Microsoft Sans Serif" w:cs="Microsoft Sans Serif"/>
          <w:noProof/>
          <w:sz w:val="17"/>
          <w:szCs w:val="17"/>
        </w:rPr>
        <w:drawing>
          <wp:inline distT="0" distB="0" distL="0" distR="0">
            <wp:extent cx="931545" cy="2540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r>
        <w:rPr>
          <w:rFonts w:ascii="Times New Roman CYR" w:hAnsi="Times New Roman CYR" w:cs="Times New Roman CYR"/>
          <w:sz w:val="28"/>
          <w:szCs w:val="28"/>
        </w:rPr>
        <w:t xml:space="preserve"> (1.5)</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3A549E">
        <w:rPr>
          <w:rFonts w:ascii="Microsoft Sans Serif" w:hAnsi="Microsoft Sans Serif" w:cs="Microsoft Sans Serif"/>
          <w:noProof/>
          <w:sz w:val="17"/>
          <w:szCs w:val="17"/>
        </w:rPr>
        <w:drawing>
          <wp:inline distT="0" distB="0" distL="0" distR="0">
            <wp:extent cx="347345"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228600"/>
                    </a:xfrm>
                    <a:prstGeom prst="rect">
                      <a:avLst/>
                    </a:prstGeom>
                    <a:noFill/>
                    <a:ln>
                      <a:noFill/>
                    </a:ln>
                  </pic:spPr>
                </pic:pic>
              </a:graphicData>
            </a:graphic>
          </wp:inline>
        </w:drawing>
      </w:r>
      <w:r>
        <w:rPr>
          <w:rFonts w:ascii="Times New Roman CYR" w:hAnsi="Times New Roman CYR" w:cs="Times New Roman CYR"/>
          <w:sz w:val="28"/>
          <w:szCs w:val="28"/>
        </w:rPr>
        <w:t>- объемы реализованной продукции в базовом периоде;</w:t>
      </w: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E63CBB">
        <w:rPr>
          <w:rFonts w:ascii="Times New Roman CYR" w:hAnsi="Times New Roman CYR" w:cs="Times New Roman CYR"/>
          <w:sz w:val="28"/>
          <w:szCs w:val="28"/>
        </w:rPr>
        <w:t>- средняя цена единицы продукции в базовом периоде;</w:t>
      </w: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1455"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 cy="228600"/>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 средняя себестоимость в базовом периоде.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прибыли при фактическом объеме продаж и базовой величине остальных факторов рассчитывается по формулам (1.6 и 1.7):</w:t>
      </w: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7800" cy="2114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00" cy="211455"/>
                    </a:xfrm>
                    <a:prstGeom prst="rect">
                      <a:avLst/>
                    </a:prstGeom>
                    <a:noFill/>
                    <a:ln>
                      <a:noFill/>
                    </a:ln>
                  </pic:spPr>
                </pic:pic>
              </a:graphicData>
            </a:graphic>
          </wp:inline>
        </w:drawing>
      </w:r>
      <w:r w:rsidR="00E63CBB">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389255" cy="4235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255" cy="42354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(1.6)</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3A549E">
        <w:rPr>
          <w:rFonts w:ascii="Microsoft Sans Serif" w:hAnsi="Microsoft Sans Serif" w:cs="Microsoft Sans Serif"/>
          <w:noProof/>
          <w:sz w:val="17"/>
          <w:szCs w:val="17"/>
        </w:rPr>
        <w:drawing>
          <wp:inline distT="0" distB="0" distL="0" distR="0">
            <wp:extent cx="34734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345" cy="228600"/>
                    </a:xfrm>
                    <a:prstGeom prst="rect">
                      <a:avLst/>
                    </a:prstGeom>
                    <a:noFill/>
                    <a:ln>
                      <a:noFill/>
                    </a:ln>
                  </pic:spPr>
                </pic:pic>
              </a:graphicData>
            </a:graphic>
          </wp:inline>
        </w:drawing>
      </w:r>
      <w:r>
        <w:rPr>
          <w:rFonts w:ascii="Times New Roman CYR" w:hAnsi="Times New Roman CYR" w:cs="Times New Roman CYR"/>
          <w:sz w:val="28"/>
          <w:szCs w:val="28"/>
        </w:rPr>
        <w:t>- объем реализованной продукции в отчетном периоде.</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w:t>
      </w:r>
      <w:r w:rsidR="003A549E">
        <w:rPr>
          <w:rFonts w:ascii="Microsoft Sans Serif" w:hAnsi="Microsoft Sans Serif" w:cs="Microsoft Sans Serif"/>
          <w:noProof/>
          <w:sz w:val="17"/>
          <w:szCs w:val="17"/>
        </w:rPr>
        <w:drawing>
          <wp:inline distT="0" distB="0" distL="0" distR="0">
            <wp:extent cx="271145"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127000" cy="2286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Pr>
          <w:rFonts w:ascii="Times New Roman CYR" w:hAnsi="Times New Roman CYR" w:cs="Times New Roman CYR"/>
          <w:sz w:val="28"/>
          <w:szCs w:val="28"/>
        </w:rPr>
        <w:t>* I</w:t>
      </w:r>
      <w:r w:rsidR="003A549E">
        <w:rPr>
          <w:rFonts w:ascii="Microsoft Sans Serif" w:hAnsi="Microsoft Sans Serif" w:cs="Microsoft Sans Serif"/>
          <w:noProof/>
          <w:sz w:val="17"/>
          <w:szCs w:val="17"/>
        </w:rPr>
        <w:drawing>
          <wp:inline distT="0" distB="0" distL="0" distR="0">
            <wp:extent cx="177800" cy="2114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 cy="211455"/>
                    </a:xfrm>
                    <a:prstGeom prst="rect">
                      <a:avLst/>
                    </a:prstGeom>
                    <a:noFill/>
                    <a:ln>
                      <a:noFill/>
                    </a:ln>
                  </pic:spPr>
                </pic:pic>
              </a:graphicData>
            </a:graphic>
          </wp:inline>
        </w:drawing>
      </w:r>
      <w:r>
        <w:rPr>
          <w:rFonts w:ascii="Times New Roman CYR" w:hAnsi="Times New Roman CYR" w:cs="Times New Roman CYR"/>
          <w:sz w:val="28"/>
          <w:szCs w:val="28"/>
        </w:rPr>
        <w:t xml:space="preserve"> (1.7)</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прибыли при фактическом объеме и структуре реализованной продукции, но при базовом уровне себестоимости и цен рассчитывается по формуле (1.8):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w:t>
      </w:r>
      <w:r w:rsidR="003A549E">
        <w:rPr>
          <w:rFonts w:ascii="Microsoft Sans Serif" w:hAnsi="Microsoft Sans Serif" w:cs="Microsoft Sans Serif"/>
          <w:noProof/>
          <w:sz w:val="17"/>
          <w:szCs w:val="17"/>
        </w:rPr>
        <w:drawing>
          <wp:inline distT="0" distB="0" distL="0" distR="0">
            <wp:extent cx="271145"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3A549E">
        <w:rPr>
          <w:rFonts w:ascii="Microsoft Sans Serif" w:hAnsi="Microsoft Sans Serif" w:cs="Microsoft Sans Serif"/>
          <w:noProof/>
          <w:sz w:val="17"/>
          <w:szCs w:val="17"/>
        </w:rPr>
        <w:drawing>
          <wp:inline distT="0" distB="0" distL="0" distR="0">
            <wp:extent cx="948055" cy="2540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055" cy="2540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3A549E">
        <w:rPr>
          <w:rFonts w:ascii="Microsoft Sans Serif" w:hAnsi="Microsoft Sans Serif" w:cs="Microsoft Sans Serif"/>
          <w:noProof/>
          <w:sz w:val="17"/>
          <w:szCs w:val="17"/>
        </w:rPr>
        <w:drawing>
          <wp:inline distT="0" distB="0" distL="0" distR="0">
            <wp:extent cx="931545" cy="2540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r>
        <w:rPr>
          <w:rFonts w:ascii="Times New Roman CYR" w:hAnsi="Times New Roman CYR" w:cs="Times New Roman CYR"/>
          <w:sz w:val="28"/>
          <w:szCs w:val="28"/>
        </w:rPr>
        <w:t xml:space="preserve"> (1.8)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прибыли при фактическом объеме реализации, структуре и ценах, но при базовом уровне себестоимости продукции рассчитывается по формуле (1.9):</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w:t>
      </w:r>
      <w:r w:rsidR="003A549E">
        <w:rPr>
          <w:rFonts w:ascii="Microsoft Sans Serif" w:hAnsi="Microsoft Sans Serif" w:cs="Microsoft Sans Serif"/>
          <w:noProof/>
          <w:sz w:val="17"/>
          <w:szCs w:val="17"/>
        </w:rPr>
        <w:drawing>
          <wp:inline distT="0" distB="0" distL="0" distR="0">
            <wp:extent cx="271145"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3A549E">
        <w:rPr>
          <w:rFonts w:ascii="Microsoft Sans Serif" w:hAnsi="Microsoft Sans Serif" w:cs="Microsoft Sans Serif"/>
          <w:noProof/>
          <w:sz w:val="17"/>
          <w:szCs w:val="17"/>
        </w:rPr>
        <w:drawing>
          <wp:inline distT="0" distB="0" distL="0" distR="0">
            <wp:extent cx="939800" cy="254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800" cy="2540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931545" cy="25400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545" cy="254000"/>
                    </a:xfrm>
                    <a:prstGeom prst="rect">
                      <a:avLst/>
                    </a:prstGeom>
                    <a:noFill/>
                    <a:ln>
                      <a:noFill/>
                    </a:ln>
                  </pic:spPr>
                </pic:pic>
              </a:graphicData>
            </a:graphic>
          </wp:inline>
        </w:drawing>
      </w:r>
      <w:r>
        <w:rPr>
          <w:rFonts w:ascii="Times New Roman CYR" w:hAnsi="Times New Roman CYR" w:cs="Times New Roman CYR"/>
          <w:sz w:val="28"/>
          <w:szCs w:val="28"/>
        </w:rPr>
        <w:t xml:space="preserve"> (1.9)</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3A549E">
        <w:rPr>
          <w:rFonts w:ascii="Microsoft Sans Serif" w:hAnsi="Microsoft Sans Serif" w:cs="Microsoft Sans Serif"/>
          <w:noProof/>
          <w:sz w:val="17"/>
          <w:szCs w:val="17"/>
        </w:rPr>
        <w:drawing>
          <wp:inline distT="0" distB="0" distL="0" distR="0">
            <wp:extent cx="245745" cy="22860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28600"/>
                    </a:xfrm>
                    <a:prstGeom prst="rect">
                      <a:avLst/>
                    </a:prstGeom>
                    <a:noFill/>
                    <a:ln>
                      <a:noFill/>
                    </a:ln>
                  </pic:spPr>
                </pic:pic>
              </a:graphicData>
            </a:graphic>
          </wp:inline>
        </w:drawing>
      </w:r>
      <w:r>
        <w:rPr>
          <w:rFonts w:ascii="Times New Roman CYR" w:hAnsi="Times New Roman CYR" w:cs="Times New Roman CYR"/>
          <w:sz w:val="28"/>
          <w:szCs w:val="28"/>
        </w:rPr>
        <w:t xml:space="preserve"> - средняя цена единицы продукции в отчетном периоде.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прибыли за отчетный период рассчитывается по формуле (1.10):</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w:t>
      </w:r>
      <w:r w:rsidR="003A549E">
        <w:rPr>
          <w:rFonts w:ascii="Microsoft Sans Serif" w:hAnsi="Microsoft Sans Serif" w:cs="Microsoft Sans Serif"/>
          <w:noProof/>
          <w:sz w:val="17"/>
          <w:szCs w:val="17"/>
        </w:rPr>
        <w:drawing>
          <wp:inline distT="0" distB="0" distL="0" distR="0">
            <wp:extent cx="118745"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2286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939800" cy="254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800" cy="2540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914400" cy="25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254000"/>
                    </a:xfrm>
                    <a:prstGeom prst="rect">
                      <a:avLst/>
                    </a:prstGeom>
                    <a:noFill/>
                    <a:ln>
                      <a:noFill/>
                    </a:ln>
                  </pic:spPr>
                </pic:pic>
              </a:graphicData>
            </a:graphic>
          </wp:inline>
        </w:drawing>
      </w:r>
      <w:r>
        <w:rPr>
          <w:rFonts w:ascii="Times New Roman CYR" w:hAnsi="Times New Roman CYR" w:cs="Times New Roman CYR"/>
          <w:sz w:val="28"/>
          <w:szCs w:val="28"/>
        </w:rPr>
        <w:t xml:space="preserve"> (1.10)</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3A549E">
        <w:rPr>
          <w:rFonts w:ascii="Microsoft Sans Serif" w:hAnsi="Microsoft Sans Serif" w:cs="Microsoft Sans Serif"/>
          <w:noProof/>
          <w:sz w:val="17"/>
          <w:szCs w:val="17"/>
        </w:rPr>
        <w:drawing>
          <wp:inline distT="0" distB="0" distL="0" distR="0">
            <wp:extent cx="194945"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 cy="228600"/>
                    </a:xfrm>
                    <a:prstGeom prst="rect">
                      <a:avLst/>
                    </a:prstGeom>
                    <a:noFill/>
                    <a:ln>
                      <a:noFill/>
                    </a:ln>
                  </pic:spPr>
                </pic:pic>
              </a:graphicData>
            </a:graphic>
          </wp:inline>
        </w:drawing>
      </w:r>
      <w:r>
        <w:rPr>
          <w:rFonts w:ascii="Times New Roman CYR" w:hAnsi="Times New Roman CYR" w:cs="Times New Roman CYR"/>
          <w:sz w:val="28"/>
          <w:szCs w:val="28"/>
        </w:rPr>
        <w:t>- средняя себестоимость в отчетном периоде.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определяется изменение прибыли за счет влияния следующих факторов:</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объема реализации продукции:</w:t>
      </w:r>
      <w:r w:rsidR="003A549E">
        <w:rPr>
          <w:rFonts w:ascii="Microsoft Sans Serif" w:hAnsi="Microsoft Sans Serif" w:cs="Microsoft Sans Serif"/>
          <w:noProof/>
          <w:sz w:val="17"/>
          <w:szCs w:val="17"/>
        </w:rPr>
        <w:drawing>
          <wp:inline distT="0" distB="0" distL="0" distR="0">
            <wp:extent cx="389255" cy="24574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255" cy="245745"/>
                    </a:xfrm>
                    <a:prstGeom prst="rect">
                      <a:avLst/>
                    </a:prstGeom>
                    <a:noFill/>
                    <a:ln>
                      <a:noFill/>
                    </a:ln>
                  </pic:spPr>
                </pic:pic>
              </a:graphicData>
            </a:graphic>
          </wp:inline>
        </w:drawing>
      </w:r>
      <w:r>
        <w:rPr>
          <w:rFonts w:ascii="Times New Roman CYR" w:hAnsi="Times New Roman CYR" w:cs="Times New Roman CYR"/>
          <w:sz w:val="28"/>
          <w:szCs w:val="28"/>
        </w:rPr>
        <w:t xml:space="preserve"> = П</w:t>
      </w:r>
      <w:r w:rsidR="003A549E">
        <w:rPr>
          <w:rFonts w:ascii="Microsoft Sans Serif" w:hAnsi="Microsoft Sans Serif" w:cs="Microsoft Sans Serif"/>
          <w:noProof/>
          <w:sz w:val="17"/>
          <w:szCs w:val="17"/>
        </w:rPr>
        <w:drawing>
          <wp:inline distT="0" distB="0" distL="0" distR="0">
            <wp:extent cx="271145"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127000" cy="2540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00" cy="2540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структуры товарной продукции: </w:t>
      </w:r>
      <w:r w:rsidR="003A549E">
        <w:rPr>
          <w:rFonts w:ascii="Microsoft Sans Serif" w:hAnsi="Microsoft Sans Serif" w:cs="Microsoft Sans Serif"/>
          <w:noProof/>
          <w:sz w:val="17"/>
          <w:szCs w:val="17"/>
        </w:rPr>
        <w:drawing>
          <wp:inline distT="0" distB="0" distL="0" distR="0">
            <wp:extent cx="423545"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5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271145"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271145"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отпускных цен: </w:t>
      </w:r>
      <w:r w:rsidR="003A549E">
        <w:rPr>
          <w:rFonts w:ascii="Microsoft Sans Serif" w:hAnsi="Microsoft Sans Serif" w:cs="Microsoft Sans Serif"/>
          <w:noProof/>
          <w:sz w:val="17"/>
          <w:szCs w:val="17"/>
        </w:rPr>
        <w:drawing>
          <wp:inline distT="0" distB="0" distL="0" distR="0">
            <wp:extent cx="347345" cy="24574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345" cy="245745"/>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271145" cy="228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271145"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себестоимости реализованной продукции: </w:t>
      </w:r>
      <w:r w:rsidR="003A549E">
        <w:rPr>
          <w:rFonts w:ascii="Microsoft Sans Serif" w:hAnsi="Microsoft Sans Serif" w:cs="Microsoft Sans Serif"/>
          <w:noProof/>
          <w:sz w:val="17"/>
          <w:szCs w:val="17"/>
        </w:rPr>
        <w:drawing>
          <wp:inline distT="0" distB="0" distL="0" distR="0">
            <wp:extent cx="321945" cy="228600"/>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118745"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745" cy="228600"/>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127000" cy="22860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проводятся результаты расчетов, анализируются полученные коэффициенты и сравниваются с рассматриваемыми периодами [5, с. 15].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Следующим шагом является факторный анализ прибыли от реализации отдельных видов продукции, величина которой зависит от трех факторов первого уровня: объема продажи продукции, себестоимости и среднереализационных цен. Факторная модель прибыли от реализации отдельных видов продукции представлена в формуле (1.11):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w:t>
      </w:r>
      <w:r w:rsidR="003A549E">
        <w:rPr>
          <w:rFonts w:ascii="Microsoft Sans Serif" w:hAnsi="Microsoft Sans Serif" w:cs="Microsoft Sans Serif"/>
          <w:noProof/>
          <w:sz w:val="17"/>
          <w:szCs w:val="17"/>
        </w:rPr>
        <w:drawing>
          <wp:inline distT="0" distB="0" distL="0" distR="0">
            <wp:extent cx="762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Vрп</w:t>
      </w:r>
      <w:r w:rsidR="003A549E">
        <w:rPr>
          <w:rFonts w:ascii="Microsoft Sans Serif" w:hAnsi="Microsoft Sans Serif" w:cs="Microsoft Sans Serif"/>
          <w:noProof/>
          <w:sz w:val="17"/>
          <w:szCs w:val="17"/>
        </w:rPr>
        <w:drawing>
          <wp:inline distT="0" distB="0" distL="0" distR="0">
            <wp:extent cx="76200" cy="228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*(Ц</w:t>
      </w:r>
      <w:r w:rsidR="003A549E">
        <w:rPr>
          <w:rFonts w:ascii="Microsoft Sans Serif" w:hAnsi="Microsoft Sans Serif" w:cs="Microsoft Sans Serif"/>
          <w:noProof/>
          <w:sz w:val="17"/>
          <w:szCs w:val="17"/>
        </w:rPr>
        <w:drawing>
          <wp:inline distT="0" distB="0" distL="0" distR="0">
            <wp:extent cx="7620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С</w:t>
      </w:r>
      <w:r w:rsidR="003A549E">
        <w:rPr>
          <w:rFonts w:ascii="Microsoft Sans Serif" w:hAnsi="Microsoft Sans Serif" w:cs="Microsoft Sans Serif"/>
          <w:noProof/>
          <w:sz w:val="17"/>
          <w:szCs w:val="17"/>
        </w:rPr>
        <w:drawing>
          <wp:inline distT="0" distB="0" distL="0" distR="0">
            <wp:extent cx="762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(1.11)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Vрп</w:t>
      </w:r>
      <w:r w:rsidR="003A549E">
        <w:rPr>
          <w:rFonts w:ascii="Microsoft Sans Serif" w:hAnsi="Microsoft Sans Serif" w:cs="Microsoft Sans Serif"/>
          <w:noProof/>
          <w:sz w:val="17"/>
          <w:szCs w:val="17"/>
        </w:rPr>
        <w:drawing>
          <wp:inline distT="0" distB="0" distL="0" distR="0">
            <wp:extent cx="76200"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объем реализованной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w:t>
      </w:r>
      <w:r w:rsidR="003A549E">
        <w:rPr>
          <w:rFonts w:ascii="Microsoft Sans Serif" w:hAnsi="Microsoft Sans Serif" w:cs="Microsoft Sans Serif"/>
          <w:noProof/>
          <w:sz w:val="17"/>
          <w:szCs w:val="17"/>
        </w:rPr>
        <w:drawing>
          <wp:inline distT="0" distB="0" distL="0" distR="0">
            <wp:extent cx="762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средняя цена единицы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w:t>
      </w:r>
      <w:r w:rsidR="003A549E">
        <w:rPr>
          <w:rFonts w:ascii="Microsoft Sans Serif" w:hAnsi="Microsoft Sans Serif" w:cs="Microsoft Sans Serif"/>
          <w:noProof/>
          <w:sz w:val="17"/>
          <w:szCs w:val="17"/>
        </w:rPr>
        <w:drawing>
          <wp:inline distT="0" distB="0" distL="0" distR="0">
            <wp:extent cx="7620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CYR" w:hAnsi="Times New Roman CYR" w:cs="Times New Roman CYR"/>
          <w:sz w:val="28"/>
          <w:szCs w:val="28"/>
        </w:rPr>
        <w:t xml:space="preserve"> - средняя себестоимость единицы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удобства расчета суммы прибыли по каждому виду продукции составляются и используются таблицы.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Используя формулу (1.11), можно рассчитать величину прибыли по отдельным видам продукции [10, с. 86].</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необходимо определить влияние каждого фактора на величину прибыли. В данном случае используется следующая методика расчета влияния факторов.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факторов на изменение суммы прибыли от реализации выбранной продукции следующий:</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объема реализации продукции: ∆ Пц = (Ц i1 - Ц i0)*Vрп i1;</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отпускных цен: ∆ Пц = (Ц i1 - Ц i0)*Vрп i1;</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себестоимости реализованной продукции: ∆ Пс = -(C i1 - C i0)*Vрп i1;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определяется изменение общей суммы прибыли по формуле:</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5455" cy="24574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455" cy="24574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 П i1 - П i0 (1.12)</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Факторный анализ прибыли от реализации по выбранным видам продукции требует проведения соответствующих выводов.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Прибыль (убыток) до налогообложения - это прибыль от продаж с учетом прочих доходов и расходов, которые подразделяются на операционные и внереализационные, которая рассчитывается по формуле (1.13):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Пдно = Ппр ± Содр ± Свдр (1.13)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Содр - операционные доходы и расходы;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Свдр - внереализационные доходы и расходы.Прибыль (убыток) от обычной деятельности может быть получена вычитанием из прибыли до налогообложения суммы налога на прибыль и иных аналогичных обязательных платежей и рассчитана по формуле (1.14):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 = Пдно - Н (1.14)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Н - сумма налогов.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Чистая прибыль - это прибыль от обычной деятельности с учетом сальдо чрезвычайных доходов и расходов. Рассчитывается по формуле (1.15):</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Пч = Под ± Чдр (1.15)</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Чдр - чрезвычайные доходы и расходы.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распределению подлежит чистая прибыль, т.е. прибыль, оставшаяся в распоряжении предприятия после уплаты налогов и других обязательных платежей [13, с. 653].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значение прибыли состоит в том, что она отражает конечный финансовый результат. Являясь важнейшей экономической категорией и основной целью деятельности любой коммерческой организации, прибыль отражает чистый доход, созданный в сфере материального производства.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эффективности работы предприятия недостаточно использовать только показатели прибыли. Поэтому анализ эффективности </w:t>
      </w:r>
      <w:r>
        <w:rPr>
          <w:rFonts w:ascii="Times New Roman CYR" w:hAnsi="Times New Roman CYR" w:cs="Times New Roman CYR"/>
          <w:sz w:val="28"/>
          <w:szCs w:val="28"/>
        </w:rPr>
        <w:lastRenderedPageBreak/>
        <w:t>финансово-хозяйственной деятельности предприятия обусловлен еще и такими показателями как рентабельность, деловая активность и безубыточность.</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Перейдем к анализу рентабельности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широком смысле слова понятие рентабельность означает прибыльность, доходность. Предприятие считается рентабельным, если доходы от реализации продукции (работ, услуг) покрывают издержки производства (обращения) и, кроме того, образуют сумму прибыли достаточную для нормального функционирования предприятия. Экономическая сущность рентабельности может быть раскрыта только через характеристику системы показателей. Общий их смысл - определение суммы прибыли с одного рубля вложенного капитала [7, с. 587].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 один из важнейших показателей, характеризующих эффективность работы предприятия. Рентабельность более полно, чем прибыль характеризует окончательные результаты хозяйствования, так как ее величина показывает соотношение эффекта с использованными ресурсами.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задачи анализа рентабельности заключаются в следующем:</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изучить динамику уровня прибыли;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оценить выполнение плана по уровню рентабельности;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определить влияние на изменение уровня рентабельности отдельных факторов;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сделать выводы и предложения по результатам проведенного анализа.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отражает способность предприятия генерировать при-быль на вложенный собственный капитал и имеющиеся у организации активы.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Показатель рентабельности - это относительный показатель, в числителе которого стоит прибыль (одна из разновидностей прибыли), а в знаменателе - объем того ресурса или вида затрат, эффективность использования которого определяется. Рентабельность считается в процентах и в общем виде показывает, сколько копеек прибыли получено на 1 рубль использованных ресурсов или осуществленных затрат.</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можно объединить в несколько групп:</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окупаемость издержек производства;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прибыльность продаж;</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доходность капитала и его частей.</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анализа следует изучить динамику перечисленных показателей рентабельности, выполнение плана по их уровню. Все показатели могут рассчитываться на основе балансовой прибыли, прибыли от реализации продукции и чистой прибыли. Коэффициенты рентабельности характеризуют прибыльность деятельности предприятия, рассчитываются как отношение полученной балансовой или чистой прибыли к затраченным средствам или объему реализованной продукции.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рентабельность производства, продукции, оборота (продаж), </w:t>
      </w:r>
      <w:r>
        <w:rPr>
          <w:rFonts w:ascii="Times New Roman CYR" w:hAnsi="Times New Roman CYR" w:cs="Times New Roman CYR"/>
          <w:sz w:val="28"/>
          <w:szCs w:val="28"/>
        </w:rPr>
        <w:lastRenderedPageBreak/>
        <w:t>совокупных активов, внеоборотные активов, оборотных активов, собственного оборотного капитала, собственного капитала, издержек.</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показатели рентабельности представлены в Приложении 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важно рассмотреть уровень рентабельности продукции, исчисленной в целом по предприятию. Факторная модель этого показателя представлена в формуле (1.16) и имеет следующий вид:</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4400" cy="465455"/>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46545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(1.16)</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факторов первого уровня на изменение рентабельности в целом по предприятию можно выполнить способом цепной подстановки, используя данные таблицы 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r w:rsidR="003A549E">
        <w:rPr>
          <w:rFonts w:ascii="Microsoft Sans Serif" w:hAnsi="Microsoft Sans Serif" w:cs="Microsoft Sans Serif"/>
          <w:noProof/>
          <w:sz w:val="17"/>
          <w:szCs w:val="17"/>
        </w:rPr>
        <w:drawing>
          <wp:inline distT="0" distB="0" distL="0" distR="0">
            <wp:extent cx="127000" cy="22860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728345" cy="4235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8345" cy="423545"/>
                    </a:xfrm>
                    <a:prstGeom prst="rect">
                      <a:avLst/>
                    </a:prstGeom>
                    <a:noFill/>
                    <a:ln>
                      <a:noFill/>
                    </a:ln>
                  </pic:spPr>
                </pic:pic>
              </a:graphicData>
            </a:graphic>
          </wp:inline>
        </w:drawing>
      </w:r>
      <w:r>
        <w:rPr>
          <w:rFonts w:ascii="Times New Roman CYR" w:hAnsi="Times New Roman CYR" w:cs="Times New Roman CYR"/>
          <w:sz w:val="28"/>
          <w:szCs w:val="28"/>
        </w:rPr>
        <w:t xml:space="preserve">;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r w:rsidR="003A549E">
        <w:rPr>
          <w:rFonts w:ascii="Microsoft Sans Serif" w:hAnsi="Microsoft Sans Serif" w:cs="Microsoft Sans Serif"/>
          <w:noProof/>
          <w:sz w:val="17"/>
          <w:szCs w:val="17"/>
        </w:rPr>
        <w:drawing>
          <wp:inline distT="0" distB="0" distL="0" distR="0">
            <wp:extent cx="118745"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745" cy="2286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812800" cy="423545"/>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2800" cy="423545"/>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r w:rsidR="003A549E">
        <w:rPr>
          <w:rFonts w:ascii="Microsoft Sans Serif" w:hAnsi="Microsoft Sans Serif" w:cs="Microsoft Sans Serif"/>
          <w:noProof/>
          <w:sz w:val="17"/>
          <w:szCs w:val="17"/>
        </w:rPr>
        <w:drawing>
          <wp:inline distT="0" distB="0" distL="0" distR="0">
            <wp:extent cx="271145"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880745" cy="42354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0745" cy="423545"/>
                    </a:xfrm>
                    <a:prstGeom prst="rect">
                      <a:avLst/>
                    </a:prstGeom>
                    <a:noFill/>
                    <a:ln>
                      <a:noFill/>
                    </a:ln>
                  </pic:spPr>
                </pic:pic>
              </a:graphicData>
            </a:graphic>
          </wp:inline>
        </w:drawing>
      </w:r>
      <w:r>
        <w:rPr>
          <w:rFonts w:ascii="Times New Roman CYR" w:hAnsi="Times New Roman CYR" w:cs="Times New Roman CYR"/>
          <w:sz w:val="28"/>
          <w:szCs w:val="28"/>
        </w:rPr>
        <w:t xml:space="preserve">;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r w:rsidR="003A549E">
        <w:rPr>
          <w:rFonts w:ascii="Microsoft Sans Serif" w:hAnsi="Microsoft Sans Serif" w:cs="Microsoft Sans Serif"/>
          <w:noProof/>
          <w:sz w:val="17"/>
          <w:szCs w:val="17"/>
        </w:rPr>
        <w:drawing>
          <wp:inline distT="0" distB="0" distL="0" distR="0">
            <wp:extent cx="271145"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871855" cy="423545"/>
            <wp:effectExtent l="0" t="0" r="444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1855" cy="423545"/>
                    </a:xfrm>
                    <a:prstGeom prst="rect">
                      <a:avLst/>
                    </a:prstGeom>
                    <a:noFill/>
                    <a:ln>
                      <a:noFill/>
                    </a:ln>
                  </pic:spPr>
                </pic:pic>
              </a:graphicData>
            </a:graphic>
          </wp:inline>
        </w:drawing>
      </w:r>
      <w:r>
        <w:rPr>
          <w:rFonts w:ascii="Times New Roman CYR" w:hAnsi="Times New Roman CYR" w:cs="Times New Roman CYR"/>
          <w:sz w:val="28"/>
          <w:szCs w:val="28"/>
        </w:rPr>
        <w:t xml:space="preserve">;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r w:rsidR="003A549E">
        <w:rPr>
          <w:rFonts w:ascii="Microsoft Sans Serif" w:hAnsi="Microsoft Sans Serif" w:cs="Microsoft Sans Serif"/>
          <w:noProof/>
          <w:sz w:val="17"/>
          <w:szCs w:val="17"/>
        </w:rPr>
        <w:drawing>
          <wp:inline distT="0" distB="0" distL="0" distR="0">
            <wp:extent cx="271145"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871855" cy="423545"/>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1855" cy="423545"/>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Для того чтобы проанализировать рентабельность в целом по предприятию, необходимо дать общую оценку изменения рентабельности, представленную в формуле (1.17):</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255" cy="152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 cy="152400"/>
                    </a:xfrm>
                    <a:prstGeom prst="rect">
                      <a:avLst/>
                    </a:prstGeom>
                    <a:noFill/>
                    <a:ln>
                      <a:noFill/>
                    </a:ln>
                  </pic:spPr>
                </pic:pic>
              </a:graphicData>
            </a:graphic>
          </wp:inline>
        </w:drawing>
      </w:r>
      <w:r w:rsidR="00E63CBB">
        <w:rPr>
          <w:rFonts w:ascii="Times New Roman CYR" w:hAnsi="Times New Roman CYR" w:cs="Times New Roman CYR"/>
          <w:sz w:val="28"/>
          <w:szCs w:val="28"/>
        </w:rPr>
        <w:t>Р</w:t>
      </w:r>
      <w:r>
        <w:rPr>
          <w:rFonts w:ascii="Microsoft Sans Serif" w:hAnsi="Microsoft Sans Serif" w:cs="Microsoft Sans Serif"/>
          <w:noProof/>
          <w:sz w:val="17"/>
          <w:szCs w:val="17"/>
        </w:rPr>
        <w:drawing>
          <wp:inline distT="0" distB="0" distL="0" distR="0">
            <wp:extent cx="271145" cy="245745"/>
            <wp:effectExtent l="0" t="0" r="0" b="19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145" cy="245745"/>
                    </a:xfrm>
                    <a:prstGeom prst="rect">
                      <a:avLst/>
                    </a:prstGeom>
                    <a:noFill/>
                    <a:ln>
                      <a:noFill/>
                    </a:ln>
                  </pic:spPr>
                </pic:pic>
              </a:graphicData>
            </a:graphic>
          </wp:inline>
        </w:drawing>
      </w:r>
      <w:r w:rsidR="00E63CBB">
        <w:rPr>
          <w:rFonts w:ascii="Times New Roman CYR" w:hAnsi="Times New Roman CYR" w:cs="Times New Roman CYR"/>
          <w:sz w:val="28"/>
          <w:szCs w:val="28"/>
        </w:rPr>
        <w:t>= Р</w:t>
      </w:r>
      <w:r>
        <w:rPr>
          <w:rFonts w:ascii="Microsoft Sans Serif" w:hAnsi="Microsoft Sans Serif" w:cs="Microsoft Sans Serif"/>
          <w:noProof/>
          <w:sz w:val="17"/>
          <w:szCs w:val="17"/>
        </w:rPr>
        <w:drawing>
          <wp:inline distT="0" distB="0" distL="0" distR="0">
            <wp:extent cx="118745"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745" cy="228600"/>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 Р</w:t>
      </w:r>
      <w:r>
        <w:rPr>
          <w:rFonts w:ascii="Microsoft Sans Serif" w:hAnsi="Microsoft Sans Serif" w:cs="Microsoft Sans Serif"/>
          <w:noProof/>
          <w:sz w:val="17"/>
          <w:szCs w:val="17"/>
        </w:rPr>
        <w:drawing>
          <wp:inline distT="0" distB="0" distL="0" distR="0">
            <wp:extent cx="127000" cy="330200"/>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330200"/>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(1.17)</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определяется изменение рентабельности за счет влияния следующих факторов:</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объема реализации продукции: </w:t>
      </w:r>
      <w:r w:rsidR="003A549E">
        <w:rPr>
          <w:rFonts w:ascii="Microsoft Sans Serif" w:hAnsi="Microsoft Sans Serif" w:cs="Microsoft Sans Serif"/>
          <w:noProof/>
          <w:sz w:val="17"/>
          <w:szCs w:val="17"/>
        </w:rPr>
        <w:drawing>
          <wp:inline distT="0" distB="0" distL="0" distR="0">
            <wp:extent cx="372745" cy="245745"/>
            <wp:effectExtent l="0" t="0" r="8255"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2745" cy="245745"/>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271145"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127000" cy="2286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структуры товарной продукции: </w:t>
      </w:r>
      <w:r w:rsidR="003A549E">
        <w:rPr>
          <w:rFonts w:ascii="Microsoft Sans Serif" w:hAnsi="Microsoft Sans Serif" w:cs="Microsoft Sans Serif"/>
          <w:noProof/>
          <w:sz w:val="17"/>
          <w:szCs w:val="17"/>
        </w:rPr>
        <w:drawing>
          <wp:inline distT="0" distB="0" distL="0" distR="0">
            <wp:extent cx="398145" cy="228600"/>
            <wp:effectExtent l="0" t="0" r="190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145" cy="228600"/>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271145"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271145"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отпускных цен: </w:t>
      </w:r>
      <w:r w:rsidR="003A549E">
        <w:rPr>
          <w:rFonts w:ascii="Microsoft Sans Serif" w:hAnsi="Microsoft Sans Serif" w:cs="Microsoft Sans Serif"/>
          <w:noProof/>
          <w:sz w:val="17"/>
          <w:szCs w:val="17"/>
        </w:rPr>
        <w:drawing>
          <wp:inline distT="0" distB="0" distL="0" distR="0">
            <wp:extent cx="296545" cy="245745"/>
            <wp:effectExtent l="0" t="0" r="8255"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545" cy="245745"/>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271145"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271145"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себестоимости реализованной продукции: </w:t>
      </w:r>
      <w:r w:rsidR="003A549E">
        <w:rPr>
          <w:rFonts w:ascii="Microsoft Sans Serif" w:hAnsi="Microsoft Sans Serif" w:cs="Microsoft Sans Serif"/>
          <w:noProof/>
          <w:sz w:val="17"/>
          <w:szCs w:val="17"/>
        </w:rPr>
        <w:drawing>
          <wp:inline distT="0" distB="0" distL="0" distR="0">
            <wp:extent cx="296545" cy="228600"/>
            <wp:effectExtent l="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6545" cy="228600"/>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118745"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745" cy="228600"/>
                    </a:xfrm>
                    <a:prstGeom prst="rect">
                      <a:avLst/>
                    </a:prstGeom>
                    <a:noFill/>
                    <a:ln>
                      <a:noFill/>
                    </a:ln>
                  </pic:spPr>
                </pic:pic>
              </a:graphicData>
            </a:graphic>
          </wp:inline>
        </w:drawing>
      </w:r>
      <w:r>
        <w:rPr>
          <w:rFonts w:ascii="Times New Roman CYR" w:hAnsi="Times New Roman CYR" w:cs="Times New Roman CYR"/>
          <w:sz w:val="28"/>
          <w:szCs w:val="28"/>
        </w:rPr>
        <w:t>- Р</w:t>
      </w:r>
      <w:r w:rsidR="003A549E">
        <w:rPr>
          <w:rFonts w:ascii="Microsoft Sans Serif" w:hAnsi="Microsoft Sans Serif" w:cs="Microsoft Sans Serif"/>
          <w:noProof/>
          <w:sz w:val="17"/>
          <w:szCs w:val="17"/>
        </w:rPr>
        <w:drawing>
          <wp:inline distT="0" distB="0" distL="0" distR="0">
            <wp:extent cx="271145"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145" cy="228600"/>
                    </a:xfrm>
                    <a:prstGeom prst="rect">
                      <a:avLst/>
                    </a:prstGeom>
                    <a:noFill/>
                    <a:ln>
                      <a:noFill/>
                    </a:ln>
                  </pic:spPr>
                </pic:pic>
              </a:graphicData>
            </a:graphic>
          </wp:inline>
        </w:drawing>
      </w:r>
      <w:r>
        <w:rPr>
          <w:rFonts w:ascii="Times New Roman CYR" w:hAnsi="Times New Roman CYR" w:cs="Times New Roman CYR"/>
          <w:sz w:val="28"/>
          <w:szCs w:val="28"/>
        </w:rPr>
        <w:t>.</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проводятся результаты расчетов, анализируются полученные коэффициенты и сравниваются с рассматриваемыми периодами.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Затем следует провести факторный анализ рентабельности по отдельным видам продукции. Уровень рентабельности отдельных видов продукции зависит от изменения среднереализационных цен и себестоимости единицы продукции. Формула (1.18) для расчета следующая:</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35200" cy="42354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5200" cy="42354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(1.18)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Расчеты производятся по каждому виду товарной продукции, после чего составляется обобщенная таблица, из которой видно, какие виды продукции более рентабельные, как изменился уровень рентабельности и какие факторы на это повлияли [9, с. 123].</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Изучая показатели рентабельности, следует произвести факторный анализ рентабельности оборота (продаж). Детерминированная модель этого показателя, исчисленного в целом по предприятию, представлена в формуле (1.19) и имеет следующий вид:</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92655" cy="46545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2655" cy="46545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(1.19)</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определяется изменение уровня рентабельности за счет влияния определенных факторов и производятся соответствующие выводы.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Важным является изучение уровня рентабельности (оборота) продаж отдельных видов продукции, который зависит от среднего уровня цены и себестоимости продукции и представлен в формуле (1.20):</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86000" cy="42354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42354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(1.20)</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анализ показателей рентабельности позволяет оценить текущую хозяйственную деятельность, вскрыть резервы повышения ее эффективности и разработать систему мер по использованию данных резервов. И поэтому показатели рентабельности являются наиболее обобщенной характеристикой эффективности хозяйственной деятельности.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Изучая вопрос об эффективности финансово-хозяйственной деятельности необходимо также рассмотреть деловую активность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заключается в исследовании уровней и динамики коэффициентов оборачиваемости, которые являются относительными показателями финансовых результатов деятельности предприятия [11, с. 123].</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широком смысле деловая активность означает весь спектр усилий, направленных на продвижение фирмы на рынках продукции, труда, капитала. В контексте анализа финансово-хозяйственной деятельности этот термин понимается в более узком смысле - как текущая производственная и коммерческая деятельность предприятия. Анализ деловой активности - это анализ уровня и динамики различных коэффициентов оборачиваемости и рентабельности. Деловая активность предприятия измеряется с помощью системных количественных и качественных критериев.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Качественные критерии: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широта рынков сбыта внутренних и внешних;</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деловая репутация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конкурентоспособность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наличие постоянных поставщиков и покупателей готовой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критерии целесообразно сопоставлять с аналогичными параметрами конкурентов, действующих в отрасли и сфере бизнеса.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Количественные критерии характеризуются абсолютными и относительными показателями.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абсолютных показателей необходимо выделить:</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продаж готовой продукции, работ, услуг;</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прибыль;</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величину авансируемого капитала.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Целесообразно сравнить эти параметры динамики за ряд периодов. Оптимальное соотношение между ними представлено в неравенстве (1.21):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ТП &gt; ТВ &gt; ТА &gt; 100% (1.21)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ТП - темп роста прибыли;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ТВ - темп роста выручки от продаж товаров, работ, услуг;</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 - темп роста активов.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Прибыль должна увеличиваться более высокими темпами, чем остальные параметры. Это означает, что издержки производства должны снижаться, а активы, имущество предприятия использоваться более рационально. Однако на практике даже у стабильно работающих предприятий возможны отклонения от указанного соотношения показателей.</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деловой активности предприятия - это показатели скорости оборачиваемости активов. Данные показатели являются главными показателями оценки эффективности использования оборотных средств. Они наиболее полно отражают степень использования оборотных средств.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средств может замедляться или ускоряться. В результате ускорения оборачиваемости оборотных средств, то есть сокращения времени прохождения оборотными средствами отдельных стадий и всего кругооборота, снижается потребность в этих средствах, происходит их высвобождение из оборота. Замедление оборачиваемости сопровождается вовлечением в оборот дополнительных средств [18, с. 69].</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Высвобождение оборотных средств исчисляется по следующей формуле (1.22):</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 = (П</w:t>
      </w:r>
      <w:r w:rsidR="003A549E">
        <w:rPr>
          <w:rFonts w:ascii="Microsoft Sans Serif" w:hAnsi="Microsoft Sans Serif" w:cs="Microsoft Sans Serif"/>
          <w:noProof/>
          <w:sz w:val="17"/>
          <w:szCs w:val="17"/>
        </w:rPr>
        <w:drawing>
          <wp:inline distT="0" distB="0" distL="0" distR="0">
            <wp:extent cx="127000" cy="211455"/>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0" cy="211455"/>
                    </a:xfrm>
                    <a:prstGeom prst="rect">
                      <a:avLst/>
                    </a:prstGeom>
                    <a:noFill/>
                    <a:ln>
                      <a:noFill/>
                    </a:ln>
                  </pic:spPr>
                </pic:pic>
              </a:graphicData>
            </a:graphic>
          </wp:inline>
        </w:drawing>
      </w:r>
      <w:r>
        <w:rPr>
          <w:rFonts w:ascii="Times New Roman CYR" w:hAnsi="Times New Roman CYR" w:cs="Times New Roman CYR"/>
          <w:sz w:val="28"/>
          <w:szCs w:val="28"/>
        </w:rPr>
        <w:t>- П</w:t>
      </w:r>
      <w:r w:rsidR="003A549E">
        <w:rPr>
          <w:rFonts w:ascii="Microsoft Sans Serif" w:hAnsi="Microsoft Sans Serif" w:cs="Microsoft Sans Serif"/>
          <w:noProof/>
          <w:sz w:val="17"/>
          <w:szCs w:val="17"/>
        </w:rPr>
        <w:drawing>
          <wp:inline distT="0" distB="0" distL="0" distR="0">
            <wp:extent cx="152400" cy="2114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211455"/>
                    </a:xfrm>
                    <a:prstGeom prst="rect">
                      <a:avLst/>
                    </a:prstGeom>
                    <a:noFill/>
                    <a:ln>
                      <a:noFill/>
                    </a:ln>
                  </pic:spPr>
                </pic:pic>
              </a:graphicData>
            </a:graphic>
          </wp:inline>
        </w:drawing>
      </w:r>
      <w:r>
        <w:rPr>
          <w:rFonts w:ascii="Times New Roman CYR" w:hAnsi="Times New Roman CYR" w:cs="Times New Roman CYR"/>
          <w:sz w:val="28"/>
          <w:szCs w:val="28"/>
        </w:rPr>
        <w:t>)*(ВР</w:t>
      </w:r>
      <w:r w:rsidR="003A549E">
        <w:rPr>
          <w:rFonts w:ascii="Microsoft Sans Serif" w:hAnsi="Microsoft Sans Serif" w:cs="Microsoft Sans Serif"/>
          <w:noProof/>
          <w:sz w:val="17"/>
          <w:szCs w:val="17"/>
        </w:rPr>
        <w:drawing>
          <wp:inline distT="0" distB="0" distL="0" distR="0">
            <wp:extent cx="127000" cy="211455"/>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 cy="211455"/>
                    </a:xfrm>
                    <a:prstGeom prst="rect">
                      <a:avLst/>
                    </a:prstGeom>
                    <a:noFill/>
                    <a:ln>
                      <a:noFill/>
                    </a:ln>
                  </pic:spPr>
                </pic:pic>
              </a:graphicData>
            </a:graphic>
          </wp:inline>
        </w:drawing>
      </w:r>
      <w:r>
        <w:rPr>
          <w:rFonts w:ascii="Times New Roman CYR" w:hAnsi="Times New Roman CYR" w:cs="Times New Roman CYR"/>
          <w:sz w:val="28"/>
          <w:szCs w:val="28"/>
        </w:rPr>
        <w:t>/365) (1.22)</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w:t>
      </w:r>
      <w:r w:rsidR="003A549E">
        <w:rPr>
          <w:rFonts w:ascii="Microsoft Sans Serif" w:hAnsi="Microsoft Sans Serif" w:cs="Microsoft Sans Serif"/>
          <w:noProof/>
          <w:sz w:val="17"/>
          <w:szCs w:val="17"/>
        </w:rPr>
        <w:drawing>
          <wp:inline distT="0" distB="0" distL="0" distR="0">
            <wp:extent cx="127000" cy="211455"/>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0" cy="211455"/>
                    </a:xfrm>
                    <a:prstGeom prst="rect">
                      <a:avLst/>
                    </a:prstGeom>
                    <a:noFill/>
                    <a:ln>
                      <a:noFill/>
                    </a:ln>
                  </pic:spPr>
                </pic:pic>
              </a:graphicData>
            </a:graphic>
          </wp:inline>
        </w:drawing>
      </w:r>
      <w:r>
        <w:rPr>
          <w:rFonts w:ascii="Times New Roman CYR" w:hAnsi="Times New Roman CYR" w:cs="Times New Roman CYR"/>
          <w:sz w:val="28"/>
          <w:szCs w:val="28"/>
        </w:rPr>
        <w:t>- продолжительность одного оборота актива в фактическом году;</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w:t>
      </w:r>
      <w:r w:rsidR="003A549E">
        <w:rPr>
          <w:rFonts w:ascii="Microsoft Sans Serif" w:hAnsi="Microsoft Sans Serif" w:cs="Microsoft Sans Serif"/>
          <w:noProof/>
          <w:sz w:val="17"/>
          <w:szCs w:val="17"/>
        </w:rPr>
        <w:drawing>
          <wp:inline distT="0" distB="0" distL="0" distR="0">
            <wp:extent cx="152400" cy="21145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211455"/>
                    </a:xfrm>
                    <a:prstGeom prst="rect">
                      <a:avLst/>
                    </a:prstGeom>
                    <a:noFill/>
                    <a:ln>
                      <a:noFill/>
                    </a:ln>
                  </pic:spPr>
                </pic:pic>
              </a:graphicData>
            </a:graphic>
          </wp:inline>
        </w:drawing>
      </w:r>
      <w:r>
        <w:rPr>
          <w:rFonts w:ascii="Times New Roman CYR" w:hAnsi="Times New Roman CYR" w:cs="Times New Roman CYR"/>
          <w:sz w:val="28"/>
          <w:szCs w:val="28"/>
        </w:rPr>
        <w:t>- продолжительность одного оборота актива в предшествующем году;</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w:t>
      </w:r>
      <w:r w:rsidR="003A549E">
        <w:rPr>
          <w:rFonts w:ascii="Microsoft Sans Serif" w:hAnsi="Microsoft Sans Serif" w:cs="Microsoft Sans Serif"/>
          <w:noProof/>
          <w:sz w:val="17"/>
          <w:szCs w:val="17"/>
        </w:rPr>
        <w:drawing>
          <wp:inline distT="0" distB="0" distL="0" distR="0">
            <wp:extent cx="127000" cy="211455"/>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 cy="211455"/>
                    </a:xfrm>
                    <a:prstGeom prst="rect">
                      <a:avLst/>
                    </a:prstGeom>
                    <a:noFill/>
                    <a:ln>
                      <a:noFill/>
                    </a:ln>
                  </pic:spPr>
                </pic:pic>
              </a:graphicData>
            </a:graphic>
          </wp:inline>
        </w:drawing>
      </w:r>
      <w:r>
        <w:rPr>
          <w:rFonts w:ascii="Times New Roman CYR" w:hAnsi="Times New Roman CYR" w:cs="Times New Roman CYR"/>
          <w:sz w:val="28"/>
          <w:szCs w:val="28"/>
        </w:rPr>
        <w:t xml:space="preserve"> - выручка в фактическом году;</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число дней в году.</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деловая активность организации проявляется в динамичности ее развития, достижении ею поставленных целей, что отражают натуральные и стоимостные показатели, в эффективном использовании экономического потенциала, расширении рынков сбыта своей продукции.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этапом планирования производственной деятельности является рассмотрение вариантов возможных изменений рыночной ситуации.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составления планов руководству предприятия предстоит ответить на множество вопросов: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сколько нужно производить продукции, чтобы предприятие не только смогло покрыть свои затраты, но и получить желаемый уровень прибыли;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какой цене реализовывать произведенную продукцию;</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какой уровень затрат позволит предприятию оставаться конкурентоспособным на рынке.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все эти вопросы позволяет ответить анализ безубыточности.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Эффективность работы предприятия зависит от многих факторов, для ее анализа необходимо определить точку безубыточности [31, с. 23].</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Точка безубыточности - это минимальный уровень производства, при котором величина выручки от реализации произведенного продукта равна издержкам производства и реализации этого продукта. При таком объеме реализации прибыль равна нулю. Точку безубыточности можно определить в единицах продукции, в денежном выражении или с учетом ожидаемого размера прибыли. Точка безубыточности на графике - это точка пересечения прямых, построенных по значению затрат и выручки.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встречаются и другие названия этой процедуры: например, метод критического объема продаж или метод определения «мертвой точки». Суть его заключается в определении для каждой конкретной ситуации объема выпуска, обеспечивающего безубыточную деятельность. Для вычисления безубыточного объема продаж и зоны безопасности предприятия необходимо воспользоваться следующим алгоритмом. Сумму прибыли от реализации продукции можно рассчитать по формуле (1.23): </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 = R - FC - VC,</w:t>
      </w:r>
      <w:r>
        <w:rPr>
          <w:rFonts w:ascii="Times New Roman CYR" w:hAnsi="Times New Roman CYR" w:cs="Times New Roman CYR"/>
          <w:sz w:val="28"/>
          <w:szCs w:val="28"/>
        </w:rPr>
        <w:tab/>
        <w:t>(1.23)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R - выручка от реализации продукции;- постоянные затраты;- переменны затраты.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Маржинальный доход (прибыль) представляет собой предельную величину, позволяющую определить с какого момента (с какой единицы выпускаемой продукции) предприятие начинает получать прибыль.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Маржинальный доход рассчитывается по формуле (1.24):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МД = FC + П (1.24)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чего определяется безубыточный объем продаж в стоимостном выражении. Для определения безубыточного объема продаж в стоимостном выражении необходимо сумму постоянных затрат разделить на долю маржинального дохода.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маржинального дохода рассчитывается как отношение маржинального дохода к выручке по формуле (1.25):</w:t>
      </w: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1145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211455"/>
                    </a:xfrm>
                    <a:prstGeom prst="rect">
                      <a:avLst/>
                    </a:prstGeom>
                    <a:noFill/>
                    <a:ln>
                      <a:noFill/>
                    </a:ln>
                  </pic:spPr>
                </pic:pic>
              </a:graphicData>
            </a:graphic>
          </wp:inline>
        </w:drawing>
      </w:r>
      <w:r w:rsidR="00E63CBB">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939800" cy="448945"/>
            <wp:effectExtent l="0" t="0" r="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9800" cy="448945"/>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(1.25)</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Безубыточный объем продаж в натуральном выражении можно определить как отношение суммы постоянных затрат к ставке маржинального дохода по формуле (1.26).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Ставка маржинального дохода - это разность между ценой и переменными затратами на единицу продукции.</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V</w:t>
      </w:r>
      <w:r w:rsidR="003A549E">
        <w:rPr>
          <w:rFonts w:ascii="Microsoft Sans Serif" w:hAnsi="Microsoft Sans Serif" w:cs="Microsoft Sans Serif"/>
          <w:noProof/>
          <w:sz w:val="17"/>
          <w:szCs w:val="17"/>
        </w:rPr>
        <w:drawing>
          <wp:inline distT="0" distB="0" distL="0" distR="0">
            <wp:extent cx="152400" cy="2114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211455"/>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982345" cy="448945"/>
            <wp:effectExtent l="0" t="0" r="8255"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2345" cy="448945"/>
                    </a:xfrm>
                    <a:prstGeom prst="rect">
                      <a:avLst/>
                    </a:prstGeom>
                    <a:noFill/>
                    <a:ln>
                      <a:noFill/>
                    </a:ln>
                  </pic:spPr>
                </pic:pic>
              </a:graphicData>
            </a:graphic>
          </wp:inline>
        </w:drawing>
      </w:r>
      <w:r>
        <w:rPr>
          <w:rFonts w:ascii="Times New Roman CYR" w:hAnsi="Times New Roman CYR" w:cs="Times New Roman CYR"/>
          <w:sz w:val="28"/>
          <w:szCs w:val="28"/>
        </w:rPr>
        <w:t xml:space="preserve"> (1.26)</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Точка безубыточности - это отношение постоянных затрат на маржи-нальный доход. Определяется по формуле (1.27):</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w:t>
      </w:r>
      <w:r w:rsidR="003A549E">
        <w:rPr>
          <w:rFonts w:ascii="Microsoft Sans Serif" w:hAnsi="Microsoft Sans Serif" w:cs="Microsoft Sans Serif"/>
          <w:noProof/>
          <w:sz w:val="17"/>
          <w:szCs w:val="17"/>
        </w:rPr>
        <w:drawing>
          <wp:inline distT="0" distB="0" distL="0" distR="0">
            <wp:extent cx="736600" cy="423545"/>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6600" cy="423545"/>
                    </a:xfrm>
                    <a:prstGeom prst="rect">
                      <a:avLst/>
                    </a:prstGeom>
                    <a:noFill/>
                    <a:ln>
                      <a:noFill/>
                    </a:ln>
                  </pic:spPr>
                </pic:pic>
              </a:graphicData>
            </a:graphic>
          </wp:inline>
        </w:drawing>
      </w:r>
      <w:r>
        <w:rPr>
          <w:rFonts w:ascii="Times New Roman CYR" w:hAnsi="Times New Roman CYR" w:cs="Times New Roman CYR"/>
          <w:sz w:val="28"/>
          <w:szCs w:val="28"/>
        </w:rPr>
        <w:t xml:space="preserve"> (1.27)</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данном этапе необходимо рассчитать зону безопасности по стоимостным и количественным показателям. Зона безопасности по стоимостным показателям рассчитывается по формуле (1.28):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ЗБ =</w:t>
      </w:r>
      <w:r w:rsidR="003A549E">
        <w:rPr>
          <w:rFonts w:ascii="Microsoft Sans Serif" w:hAnsi="Microsoft Sans Serif" w:cs="Microsoft Sans Serif"/>
          <w:noProof/>
          <w:sz w:val="17"/>
          <w:szCs w:val="17"/>
        </w:rPr>
        <w:drawing>
          <wp:inline distT="0" distB="0" distL="0" distR="0">
            <wp:extent cx="533400" cy="38925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389255"/>
                    </a:xfrm>
                    <a:prstGeom prst="rect">
                      <a:avLst/>
                    </a:prstGeom>
                    <a:noFill/>
                    <a:ln>
                      <a:noFill/>
                    </a:ln>
                  </pic:spPr>
                </pic:pic>
              </a:graphicData>
            </a:graphic>
          </wp:inline>
        </w:drawing>
      </w:r>
      <w:r>
        <w:rPr>
          <w:rFonts w:ascii="Times New Roman CYR" w:hAnsi="Times New Roman CYR" w:cs="Times New Roman CYR"/>
          <w:sz w:val="28"/>
          <w:szCs w:val="28"/>
        </w:rPr>
        <w:t xml:space="preserve"> (1.28)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одного вида продукции зону безопасности можно найти по количественным показателям по формуле (1.29):</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ЗБ =</w:t>
      </w:r>
      <w:r w:rsidR="003A549E">
        <w:rPr>
          <w:rFonts w:ascii="Microsoft Sans Serif" w:hAnsi="Microsoft Sans Serif" w:cs="Microsoft Sans Serif"/>
          <w:noProof/>
          <w:sz w:val="17"/>
          <w:szCs w:val="17"/>
        </w:rPr>
        <w:drawing>
          <wp:inline distT="0" distB="0" distL="0" distR="0">
            <wp:extent cx="635000" cy="42354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00" cy="423545"/>
                    </a:xfrm>
                    <a:prstGeom prst="rect">
                      <a:avLst/>
                    </a:prstGeom>
                    <a:noFill/>
                    <a:ln>
                      <a:noFill/>
                    </a:ln>
                  </pic:spPr>
                </pic:pic>
              </a:graphicData>
            </a:graphic>
          </wp:inline>
        </w:drawing>
      </w:r>
      <w:r>
        <w:rPr>
          <w:rFonts w:ascii="Times New Roman CYR" w:hAnsi="Times New Roman CYR" w:cs="Times New Roman CYR"/>
          <w:sz w:val="28"/>
          <w:szCs w:val="28"/>
        </w:rPr>
        <w:t xml:space="preserve"> (1.29)</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проведения расчетов по данному алгоритму, следует сделать соответствующие выводы по анализу безубыточности рассматриваемого предприятия за анализируемые периоды.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Модель рассматриваемых показателей может быть построена графически и представлена на рисунке 1.1.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4445000" cy="2700655"/>
            <wp:effectExtent l="0" t="0" r="0" b="444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5000" cy="2700655"/>
                    </a:xfrm>
                    <a:prstGeom prst="rect">
                      <a:avLst/>
                    </a:prstGeom>
                    <a:noFill/>
                    <a:ln>
                      <a:noFill/>
                    </a:ln>
                  </pic:spPr>
                </pic:pic>
              </a:graphicData>
            </a:graphic>
          </wp:inline>
        </w:drawing>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Рис.1.1 - Графическое представление метода определения уровня безубыточности (критического объема продаж)</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анализ точки безубыточности служит одним из важных способов решения многих проблем управления, поскольку при комбинированном применении с другими методами анализа его точность вполне достаточна для обоснования управленческих решений в реальной жизни.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оценка эффективности финансово-хозяйственной деятельности предприятия отражает способность организации финансировать свою текущую деятельность и развитие производства, постоянно поддерживать свою платежеспособность и инновационную привлекательность. Информационное обеспечение является необходимым и пригодным для реализации аналитических и управленческих процедур, обеспечивающих финансово-хозяйственную деятельность предприятия [29, с. 523].</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на практике представленных и рассмотренных методик оценки показателей прибыли, рентабельности, деловой активности и безубыточности, подходов к изучению финансовых результатов, позволит достаточно объективно оценить эффективность финансово-хозяйственной деятельности организации в целом, установить причины ее изменения и разработать конкретные меры, обеспечивающие снижение необоснованных расходов и повышение доходов. </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Экономическая оценка деятельности предприятия МУП «Еланское КХ»</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Финансово - экономическая характеристика МУП «Еланское КХ»</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финансовый оборачиваемость дебитор имущество кредитор</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МУП «Еланское КХ» является коммерческой организацией, не наделенной правом собственности на имущество, закрепленное за ней собственником. Предприятие является унитарным предприятием, основанным на праве хозяйственного ведения.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Учредителем и собственником имущества Предприятия является Администрация Еланского городского поселения Еланского муниципального района Волгоградской области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Предприятие является юридическим лицом по гражданскому законодательству Российской Федерации с момента его государственной регистрации, имеет самостоятельный баланс,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МУП «Еланское КХ» по согласованию с собственником его имущества может создавать филиалы и открывать представительства. Создание Предприятием филиалов и открытие представительств на территории Российской Федерации осуществляются с соблюдением требований №161-ФЗ от 14 ноября 2008 года «О государственных и муниципальных унитарных предприятиях» и иных федеральных законов. Филиалом Предприятия является его обособленное подразделение, расположенное вне места нахождения Предприятия и осуществляющее все его функции или их часть, в том числе функции представительства [2].</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Имущество предприятия принадлежит ему на праве хозяйственного ведения, является неделимым и не может быть распределено по вкладам (долям, паям), в том числе между работниками.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Имущество МУП «Еланское КХ» формируется за счет:</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 xml:space="preserve">имущества, закрепленного за предприятием на праве хозяйственного ведения </w:t>
      </w:r>
      <w:r>
        <w:rPr>
          <w:rFonts w:ascii="Times New Roman CYR" w:hAnsi="Times New Roman CYR" w:cs="Times New Roman CYR"/>
          <w:sz w:val="28"/>
          <w:szCs w:val="28"/>
        </w:rPr>
        <w:tab/>
        <w:t>собственником этого имущества;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доходов предприятия от его деятельности;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амортизационных отчислений;</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заемных средств, в том числе кредитов банков и других кредиторов;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иных источников, не противоречащих законодательству Российской Федерации.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МУП «Еланское КХ» осуществляет следующие виды деятельности: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Жилищно-коммунальные услуги населению и организациям на договорной основе: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услуги теплоснабжения;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услуги водоснабжения и водоотведения;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услуги по техническому обслуживанию мест общего пользования жилищного фонда;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услуги саночистки;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выполнение работ по благоустройству поселка;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выполнение ремонтно-строительных работ (текущий ремонт, капитальный ремонт жилья и объектов коммунального назначения);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Ритуальные услуги;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Бытовые услуги населению (баня);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Взимание платы за жилищные и коммунальные услуги с населения и прочих потребителей;</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Выполнение работ по ресурсосбережению и подготовке объектов жилищно-коммунального комплекса к сезонной эксплуатации;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Организация мероприятий по оперативному диспетчерскому контролю за состоянием объектов жилищно-коммунального хозяйства;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Участие в работе по ликвидации стихийных бедствий, катастроф, аварий и их последствий.</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Единоличным исполнительным органом МУП «Еланское КХ» является Директор. Директор назначается собственником имущества МУП «Еланское КХ» на должность на условиях срочного трудового договора, заключенного на срок не более 5 лет с оплатой труда согласно «Областного отраслевого тарифного соглашения по предприятиям ЖКХ Волгоградской области».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прелприятия показана в приложении 1. Директор предприятия действует от имени предприятия без доверенности. Директор, действуя на основе единоначалия, самостоятельно решает вопросы руководства текущей деятельностью.</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Директор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представляет его интересы;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совершает в установленном порядке сделки от имени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назначает на должность главного бухгалтера и освобождает его от должности по согласованию с учредителем;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утверждает структуру и штаты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осуществляет прием на работу работников предприятия, заключает с ними, изменяет прекращает трудовые договоры;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подписывает исходящие и внутренние документы предприятия, а также платежные и другие и бухгалтерские документы.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Главный бухгалтер осуществляет организацию бухгалтерского учета хозяйственно-финансовой деятельности предприятия и контроль над экономным использованием материальных, трудовых и финансовых ресурсов, сохранностью собственности предприятия. Формирует в соответствии с законодательством о бухгалтерском учете учетную политику, исходя из структуры и особенностей деятельности предприятия, необходимости обеспечения его финансовой </w:t>
      </w:r>
      <w:r>
        <w:rPr>
          <w:rFonts w:ascii="Times New Roman CYR" w:hAnsi="Times New Roman CYR" w:cs="Times New Roman CYR"/>
          <w:sz w:val="28"/>
          <w:szCs w:val="28"/>
        </w:rPr>
        <w:lastRenderedPageBreak/>
        <w:t>устойчивости. Ведет работу по обеспечению строгого соблюдения штатной, финансовой и кассовой дисциплины, смет административно-хозяйственных и других расходов, законности списания с бухгалтерских балансов недостач, дебиторской задолженности и других потерь, сохранности бухгалтерских документов, а также оформления и сдачи их в установленном порядке в архив. Участвует в разработке и внедрении рациональной плановой и учетной документации, прогрессивных форм и методов ведения бухгалтерского учета на основе применения современных средств вычислительной техники. Обеспечивает составление баланса и оперативных сводных отчетов о доходах расходах средств, об использовании бюджета, другой статистической отчетности, представление их в установленном порядке в соответствующие органы. Оказывает методическую помощь работникам подразделений предприятия по вопросам бухгалтерского учета, контроля, отчетности и экономического анализа. Сообщает директору предприятия о всех выявленных недостатках в работе бухгалтерии предприятия, структурных подразделений с обязательным объяснением причин их возникновения, а также предложением способов их устранения. Руководит работниками бухгалтерии организации. Устанавливает служебные обязанности для подчиненных ему работников и принимает меры по обеспечению их исполнения.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 выполняет работу по ведению бухгалтерского учета имущества, обязательств и хозяйственных операций (учет основных средств, товарно-материальных ценностей, затрат на производство, реализации продукции, результатов хозяйственно-финансовой деятельности; расчеты с поставщиками и заказчиками, за предоставленные услуги и т.п.).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Участвует в разработке и осуществлении мероприятий, направленных на соблюдение финансовой дисциплины и рациональное использование ресурсов. Осуществляет прием и контроль первичной документации по соответствующим участкам бухгалтерского учета и подготавливает их к счетной обработке. Отражает на счетах бухгалтерского учета операции, связанные с движением основных средств, товарно-материальных ценностей и денежных средств. Составляет отчетные калькуляции себестоимости продукции (работ, услуг), выявляет источники образования потерь и непроизводительных расходов, подготавливает предложения по их предупреждению.</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финансирование капитальных вложений, заработной платы рабочих и служащих, других выплат и платежей, а также отчисление средств на материальное стимулирование работников предприятия. Разрабатывает рабочий план счетов, формы первичных документов, применяемые для оформления хозяйственных операций, по которым не предусмотрены типовые формы, а </w:t>
      </w:r>
      <w:r>
        <w:rPr>
          <w:rFonts w:ascii="Times New Roman CYR" w:hAnsi="Times New Roman CYR" w:cs="Times New Roman CYR"/>
          <w:sz w:val="28"/>
          <w:szCs w:val="28"/>
        </w:rPr>
        <w:lastRenderedPageBreak/>
        <w:t xml:space="preserve">также формы документов для внутренней бухгалтерской отчетности, участвует в определении содержания основных приемов и методов ведения учета и технологии обработки бухгалтерской информации.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Подготавливает данные по соответствующим участкам бухгалтерского учета для составления отчетности, следит за сохранностью бухгалтерских документов, оформляет их в соответствии с установленным порядком для передачи в архив. Выполняет работы по формированию, ведению и хранению базы данных бухгалтерской информации, вносит изменения в справочную и нормативную информацию, используемую при обработке данных.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Участвует в формулировании экономической постановки задач либо отдельных их этапов, решаемых с помощью вычислительной техники, определяет возможность использования готовых проектов, алгоритмов, пакетов прикладных программ, позволяющих создавать экономически обоснованные системы обработки экономической информации. Выполняет отдельные служебные поручения своего непосредственного руководителя.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Юрист организации ведет контроль за правильностью составления ряда документов: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должностные записки;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судебные иски;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кассации;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устав и т.д.</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Численность работников МУП «Еланское КХ» показана в приложении 2.</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 последние три года (2009-2011гг.) на предприятии «текучки» персонала не наблюдается, однако штат производственных работников поменялся, но главным образом за счет ухода сотрудников из-за наступления пенсионного возраста или по состоянию здоровья. Контроль за деятельностью МУП «Еланское КХ» осуществляет государственная налоговая инспекция, учредитель, управление муниципальным имуществом, другие государственные органы в пределах своей компетенции.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по окончании отчетного периода представляет уполномоченным органам бухгалтерскую отчетность и иные документы. МУП «Еланское КХ» обязано публиковать отчетность о своей деятельности в случаях, предусмотренных федеральными законами или иными нормативными актами Российской Федерации. </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Анализ структуры и динамики имущества МУП «Еланское КХ»</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Данные бухгалтерской отчетности позволяют получить обобщенную оценку финансового состояния организации, характеризующегося размещением средств (собственных и заемных) и использованием активов. Анализ структуры и динамики активов (имущества) и источников их формирования целесообразно </w:t>
      </w:r>
      <w:r>
        <w:rPr>
          <w:rFonts w:ascii="Times New Roman CYR" w:hAnsi="Times New Roman CYR" w:cs="Times New Roman CYR"/>
          <w:sz w:val="28"/>
          <w:szCs w:val="28"/>
        </w:rPr>
        <w:lastRenderedPageBreak/>
        <w:t>проводить с помощью анализа бухгалтерского баланса предприятия за последние три года (приложение 3). Проведем анализ структуры и динамики активов и пассивов МУП «Еланское КХ» (таблица 1.1), а также покажем ее в графическом изображении (приложение 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2.1 Динамика и структура активов и пассивов МУП «Еланское КХ» за 2010 - 2012 год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942"/>
        <w:gridCol w:w="673"/>
        <w:gridCol w:w="14"/>
        <w:gridCol w:w="836"/>
        <w:gridCol w:w="14"/>
        <w:gridCol w:w="695"/>
        <w:gridCol w:w="14"/>
        <w:gridCol w:w="836"/>
        <w:gridCol w:w="14"/>
        <w:gridCol w:w="837"/>
        <w:gridCol w:w="14"/>
        <w:gridCol w:w="1032"/>
        <w:gridCol w:w="14"/>
        <w:gridCol w:w="974"/>
        <w:gridCol w:w="16"/>
      </w:tblGrid>
      <w:tr w:rsidR="001E3379">
        <w:trPr>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активов и пассивов</w:t>
            </w:r>
          </w:p>
        </w:tc>
        <w:tc>
          <w:tcPr>
            <w:tcW w:w="1629" w:type="dxa"/>
            <w:gridSpan w:val="3"/>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w:t>
            </w:r>
          </w:p>
        </w:tc>
        <w:tc>
          <w:tcPr>
            <w:tcW w:w="1559" w:type="dxa"/>
            <w:gridSpan w:val="4"/>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2011 год</w:t>
            </w:r>
          </w:p>
        </w:tc>
        <w:tc>
          <w:tcPr>
            <w:tcW w:w="1701" w:type="dxa"/>
            <w:gridSpan w:val="4"/>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2012 год</w:t>
            </w:r>
          </w:p>
        </w:tc>
        <w:tc>
          <w:tcPr>
            <w:tcW w:w="2036" w:type="dxa"/>
            <w:gridSpan w:val="4"/>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 к 2012 году</w:t>
            </w:r>
          </w:p>
        </w:tc>
      </w:tr>
      <w:tr w:rsidR="001E3379">
        <w:trPr>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87"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валюте баланса</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валюте баланса</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валюте баланса</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 к валюте баланса </w:t>
            </w:r>
          </w:p>
        </w:tc>
      </w:tr>
      <w:tr w:rsidR="001E3379">
        <w:trPr>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87"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E3379">
        <w:trPr>
          <w:jc w:val="center"/>
        </w:trPr>
        <w:tc>
          <w:tcPr>
            <w:tcW w:w="8876" w:type="dxa"/>
            <w:gridSpan w:val="16"/>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Активы организации</w:t>
            </w:r>
          </w:p>
        </w:tc>
      </w:tr>
      <w:tr w:rsidR="001E3379">
        <w:trPr>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231505</w:t>
            </w:r>
          </w:p>
        </w:tc>
        <w:tc>
          <w:tcPr>
            <w:tcW w:w="687"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63,30</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245948</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49,17</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266017</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51,37</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+34512</w:t>
            </w:r>
          </w:p>
        </w:tc>
        <w:tc>
          <w:tcPr>
            <w:tcW w:w="99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-11,93</w:t>
            </w:r>
          </w:p>
        </w:tc>
      </w:tr>
      <w:tr w:rsidR="001E3379">
        <w:trPr>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134235</w:t>
            </w:r>
          </w:p>
        </w:tc>
        <w:tc>
          <w:tcPr>
            <w:tcW w:w="687"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36,70</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254206</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50,83</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251785</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+117550</w:t>
            </w:r>
          </w:p>
        </w:tc>
        <w:tc>
          <w:tcPr>
            <w:tcW w:w="99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+11,93</w:t>
            </w:r>
          </w:p>
        </w:tc>
      </w:tr>
      <w:tr w:rsidR="001E3379">
        <w:trPr>
          <w:jc w:val="center"/>
        </w:trPr>
        <w:tc>
          <w:tcPr>
            <w:tcW w:w="8876" w:type="dxa"/>
            <w:gridSpan w:val="16"/>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Пассивы организации</w:t>
            </w:r>
          </w:p>
        </w:tc>
      </w:tr>
      <w:tr w:rsidR="001E3379">
        <w:trPr>
          <w:gridAfter w:val="1"/>
          <w:wAfter w:w="16" w:type="dxa"/>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и резервы</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244828</w:t>
            </w:r>
          </w:p>
        </w:tc>
        <w:tc>
          <w:tcPr>
            <w:tcW w:w="67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66,94</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110828</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56,87</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311359</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60,13</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+66531</w:t>
            </w:r>
          </w:p>
        </w:tc>
        <w:tc>
          <w:tcPr>
            <w:tcW w:w="988"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w:t>
            </w:r>
          </w:p>
        </w:tc>
      </w:tr>
      <w:tr w:rsidR="001E3379">
        <w:trPr>
          <w:gridAfter w:val="1"/>
          <w:wAfter w:w="16" w:type="dxa"/>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15243</w:t>
            </w:r>
          </w:p>
        </w:tc>
        <w:tc>
          <w:tcPr>
            <w:tcW w:w="67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124192</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24,83</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107917</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20,84</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+92674</w:t>
            </w:r>
          </w:p>
        </w:tc>
        <w:tc>
          <w:tcPr>
            <w:tcW w:w="988"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w:t>
            </w:r>
          </w:p>
        </w:tc>
      </w:tr>
      <w:tr w:rsidR="001E3379">
        <w:trPr>
          <w:gridAfter w:val="1"/>
          <w:wAfter w:w="16" w:type="dxa"/>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105669</w:t>
            </w:r>
          </w:p>
        </w:tc>
        <w:tc>
          <w:tcPr>
            <w:tcW w:w="67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28,89</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91526</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98526</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19,03</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-7143</w:t>
            </w:r>
          </w:p>
        </w:tc>
        <w:tc>
          <w:tcPr>
            <w:tcW w:w="988"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r>
      <w:tr w:rsidR="001E3379">
        <w:trPr>
          <w:gridAfter w:val="1"/>
          <w:wAfter w:w="16" w:type="dxa"/>
          <w:jc w:val="center"/>
        </w:trPr>
        <w:tc>
          <w:tcPr>
            <w:tcW w:w="19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Валюта баланса - всего</w:t>
            </w:r>
          </w:p>
        </w:tc>
        <w:tc>
          <w:tcPr>
            <w:tcW w:w="94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365740</w:t>
            </w:r>
          </w:p>
        </w:tc>
        <w:tc>
          <w:tcPr>
            <w:tcW w:w="67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500154</w:t>
            </w:r>
          </w:p>
        </w:tc>
        <w:tc>
          <w:tcPr>
            <w:tcW w:w="70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517802</w:t>
            </w:r>
          </w:p>
        </w:tc>
        <w:tc>
          <w:tcPr>
            <w:tcW w:w="85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46"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+152062</w:t>
            </w:r>
          </w:p>
        </w:tc>
        <w:tc>
          <w:tcPr>
            <w:tcW w:w="988"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2.1 следует, что стоимость имущества организации возросла на 152062 тыс.руб. (приложение 5), главным образом, за счет увеличения наиболее мобильной его части - оборотных активов - на 117530 тыс.руб. Данное изменение вызвало структурные сдвиги в составе активов организации. В частности, если в 2010 году более половины (63,3%), в 2011 - менее половины (49,17%) всего имущества составляли внеоборотные активы, то на 2012 год их доля сокращается на 11,93 пункта по сравнении с 2010 годом. Одновременно удельный вес оборотных активов стал составлять на ту же дату почти половины имущества организации - 48,63%, что несомненно способствовало ускорению оборачиваемости ее средств.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составе пассивов МУП «Еланское КХ» наибольший прирост наблюдается по долгосрочным обязательствам (на 92674 тыс. руб.). Одновременно произошло увеличение собственных средств организации, отражаемых в разделе III Баланса «Капитал и резервы», - на 66531 тыс.руб. </w:t>
      </w:r>
      <w:r>
        <w:rPr>
          <w:rFonts w:ascii="Times New Roman CYR" w:hAnsi="Times New Roman CYR" w:cs="Times New Roman CYR"/>
          <w:sz w:val="28"/>
          <w:szCs w:val="28"/>
        </w:rPr>
        <w:lastRenderedPageBreak/>
        <w:t>Вместе с тем, краткосрочные обязательства сократились на 7143 тыс.руб.</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отдельных групп пассивов организации привела к значительным изменениям в структуре источников средств МУП «Еланское КХ». На 2012 год наибольшую долю в них составляют капитал и резервы - 60,13%, однако эта доля сократилась по сравнению с 2010 годом на 6,18 пункта. Еще более значительно - на 9,86 пункта - уменьшился вес краткосрочных обязательств - с 4,17 до 20,84 пункта.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ситуация свидетельствует о том, что организация к 2012 году усилила финансирование своей деятельности за счет долгосрочных кредитов и других обязательств, что расширяет ее возможности для развития текущей деятельности.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более детально структуру и динамики активов МУП «Еланское КХ» (Таблица 2.2 и 2.3).</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2.2 Анализ динамики активов (имущества) МУП «Еланское КХ»,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1007"/>
        <w:gridCol w:w="992"/>
        <w:gridCol w:w="993"/>
        <w:gridCol w:w="1317"/>
        <w:gridCol w:w="826"/>
      </w:tblGrid>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 тыс. руб.</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2011 год тыс. руб.</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2012 год тыс. руб.</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 к 2012 году (+,-)</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к 2012 году, %</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Внеоборотный активы - всего</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231505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245948</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266017</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+34512</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114,91</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Нематериальный активы</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6119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6119</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5798</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-321</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94,75</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220030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222251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228382</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+8352</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строительство</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4486</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15597</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27798</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+23312</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619,67</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2803</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+1933</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322,18</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1236</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+1236</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 - всего</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134235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254206</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251785</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+117550</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187,57</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Запасы </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65586</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135493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128214</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+62628</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195,49</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 по приобретенным ценностям</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16422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20935</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+4513</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127,48</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Долгосрочная дебиторская задолженность</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Краткосрочная дебиторская задолженность</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44525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111011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96202</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+51677</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216,06</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7702</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6434</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-1268</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83,54</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Прочие 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9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активов (имущества)</w:t>
            </w:r>
          </w:p>
        </w:tc>
        <w:tc>
          <w:tcPr>
            <w:tcW w:w="100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365740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500154</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517802</w:t>
            </w:r>
          </w:p>
        </w:tc>
        <w:tc>
          <w:tcPr>
            <w:tcW w:w="13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+152062</w:t>
            </w:r>
          </w:p>
        </w:tc>
        <w:tc>
          <w:tcPr>
            <w:tcW w:w="82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141,58</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2.2 свидетельствуют о том, что в целом к 2012 году наблюдается значительное увеличение (в 1,4 раза) активов организации, что может свидетельствовать о расширении хозяйственного оборота, повышении деловой активности. Как отмечалось ранее, большую часть средств, полученных за последние три года, МУП «Еланское КХ» направляла на пополнение оборотных активов. Их прирост составил 87,57 пункта. При этом наибольшее увеличение наблюдается по таким их статьям, как запасы (в 1,9 раза) и краткосрочная дебиторская задолженность (в 2,2 раза). Вместе с тем наблюдается сокращение наиболее ликвидной части оборотных активов - денежных средств на 1268 тыс. руб. или 16,46 пункта (100 - 83,54). Поэтому в дальнейшем необходимо выявить, как данное изменение повлияло на уровень ликвидности организации.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Внеоборотные активы увеличились менее значительно, чем оборотные, - на 14,91 пункта главным образом за счет незавершенного строительства (в 6,2 раза или 23 312 тыс. руб.), долгосрочных финансовых вложений (в 3,2 раза или 1933 тыс. руб.) и основных средств (па 3,8 пункта или 8352 тыс. руб.).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увеличение первых двух статей означает отвлечение средств из хозяйственного оборота организации, то руководству организации следует усилить контроль за целесообразностью и эффективностью капитальных и финансовых вложений.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пассивов (источников формирования имущества) МУП «Еланское КХ» (таблица 2.3).</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9"/>
        <w:gridCol w:w="1115"/>
        <w:gridCol w:w="992"/>
        <w:gridCol w:w="1134"/>
        <w:gridCol w:w="1276"/>
        <w:gridCol w:w="879"/>
      </w:tblGrid>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 тыс. руб.</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Отчетный 2011 год тыс. </w:t>
            </w:r>
            <w:r>
              <w:rPr>
                <w:rFonts w:ascii="Times New Roman CYR" w:hAnsi="Times New Roman CYR" w:cs="Times New Roman CYR"/>
                <w:sz w:val="20"/>
                <w:szCs w:val="20"/>
              </w:rPr>
              <w:lastRenderedPageBreak/>
              <w:t>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Отчетный 2012 год тыс. руб.</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Абсолютное изменение к 2012 году </w:t>
            </w:r>
            <w:r>
              <w:rPr>
                <w:rFonts w:ascii="Times New Roman CYR" w:hAnsi="Times New Roman CYR" w:cs="Times New Roman CYR"/>
                <w:sz w:val="20"/>
                <w:szCs w:val="20"/>
              </w:rPr>
              <w:lastRenderedPageBreak/>
              <w:t>(+,-)</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Темп роста к 2012 </w:t>
            </w:r>
            <w:r>
              <w:rPr>
                <w:rFonts w:ascii="Times New Roman CYR" w:hAnsi="Times New Roman CYR" w:cs="Times New Roman CYR"/>
                <w:sz w:val="20"/>
                <w:szCs w:val="20"/>
              </w:rPr>
              <w:lastRenderedPageBreak/>
              <w:t>году, %</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и резервы - всего</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244828</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284436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311359</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+66531</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127,17</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Уставный капитал</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126</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126</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100,00</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Переоценка внеоборотных активов</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173369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173482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174306</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100,54</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5328</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122,54</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66985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110828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131599</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+64614</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196,46</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 - всего</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15243</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124192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107917</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+92674</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707,98</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Займы и кредиты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15233</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108083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92992</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+77759</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+610,46</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Отложенные налоговые обязательства </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16099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14915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+14915</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долгосрочные обязательства</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 - всего</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105669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91526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98526</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-7143</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93,24</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Займы и кредиты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35221</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99,37</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70448</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68082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63526</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-6922</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90,17</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Доходы будущих периодов </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Оценочные обязательства</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4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пассивов (источников формирования имущества)</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365740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500154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517802</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+152062</w:t>
            </w:r>
          </w:p>
        </w:tc>
        <w:tc>
          <w:tcPr>
            <w:tcW w:w="87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141,58</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2.3 видно, что увеличение общей суммы источников средств организации на 152 062 тыс. руб., или 41,58 пункта происходило главным образом за счет долгосрочных заемных средств, представленных в разделе V Баланса. Их прирост составил 92 674 тыс. руб. или 7,1 раза. Собственный капитал увеличился менее значительно - на 66 531 тыс. руб., или 27,17 пункта. Положительным является тот факт, что рост собственного капитала был связан в большей степени с увеличением нераспределенной прибыли в 1,9 раза и резервного капитала на 22,5 пункта, что свидетельствует о повышении эффективности деятельности организации.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за счет значительного увеличения долгосрочных обязательств в составе источников финансирования к 2012 году наблюдался опережающий рост заемного капитала по сравнению с собственным, несмотря на сокращение краткосрочных кредитов, займов и кредиторской задолженности в целом на 7143 тыс. руб., или 6,76 пункта (100 - 93,24). Данная ситуация свидетельствует о том, что к 2012 году организация получила возможность </w:t>
      </w:r>
      <w:r>
        <w:rPr>
          <w:rFonts w:ascii="Times New Roman CYR" w:hAnsi="Times New Roman CYR" w:cs="Times New Roman CYR"/>
          <w:sz w:val="28"/>
          <w:szCs w:val="28"/>
        </w:rPr>
        <w:lastRenderedPageBreak/>
        <w:t>привлекать значительные суммы средств кредиторов на длительный (более года) период, что в условиях инфляции является благоприятным фактором. Однако одновременно возрастает необходимость в усилении контроля за целевым использованием долгосрочных кредитов, их окупаемостью.</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Анализ финансового состояния МУП «Еланское КХ»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критериев оценки финансового состояния организации является ее платежеспособность. В теории и практике анализа различают:</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долгосрочную платежеспособность - способность организации рассчитываться по своим обязательствам в долгосрочной перспективе;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текущую платежеспособность (ликвидность) - способность организации своевременно и в полном объеме отвечать по своим краткосрочным обязательствам, используя при этом оборотные активы.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текущую платежеспособность организации непосредственное влияние оказывает ликвидность активов, представляющая собой время превращения активов в денежную форму. Чем меньше времени требуется, чтобы данный вид активов обрел денежную форму, тем выше его ликвидность.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может обладать большей или меньшей ликвидностью, так как в состав оборотных активов входят разнородные объекты, среди которых не только легко, но и труднореализуемые для погашения внешней задолженности. В то же время в составе пассивов могут быть выделены обязательства различной степени срочности. На этих условиях основывается методика оценки ликвидности Баланса.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Ликвидность Баланса - такое соотношение активов и пассивов, которое обеспечивает своевременное покрытие краткосрочных обязательств оборотными </w:t>
      </w:r>
      <w:r>
        <w:rPr>
          <w:rFonts w:ascii="Times New Roman CYR" w:hAnsi="Times New Roman CYR" w:cs="Times New Roman CYR"/>
          <w:sz w:val="28"/>
          <w:szCs w:val="28"/>
        </w:rPr>
        <w:lastRenderedPageBreak/>
        <w:t>активами,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российском Балансе активы располагаются по степени возрастания ликвидности, соответственно и в пассивах обязательства располагаются по степени возрастания срочности погашения.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анализа ликвидности Баланса предполагает деление всех</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активов организации в зависимости от степени ликвидности на четыре группы: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А1 - наиболее ликвидные активы - денежные средства и краткосрочные обязательства (стр. 260 и 250 Баланса соответственно);</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 быстро реализуемые активы - краткосрочная дебиторская задолженность и прочие оборотные активы (стр. 240 и 270 Баланса соответственно);</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A3 - медленно реализуемые активы - запасы (стр. 210 Баланса), налог на добавленную стоимость по приобретенным ценностям (стр. 220 Баланса) и долгосрочная дебиторская задолженность (стр. 230);</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 трудно реализуемые активы - внеоборотные активы (стр. 190 Баланса).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пассивы группируются по степени срочности их оплаты: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 наиболее срочные обязательства - кредиторская задолженность, включая задолженность участникам (учредителям) по доходам и прочие краткосрочные обязательства (стр. 620, 630 и 660 Баланса);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П2 - краткосрочные пассивы - краткосрочные кредиты и займы (стр. 610 Баланса);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ПЗ - долгосрочные пассивы - долгосрочные обязательства (стр. 590 Баланса);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П4 - постоянные пассивы - собственный капитал организации (сумма стр. 490, 640, 650 Баланса).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ликвидности Баланса следует сопоставить итоги </w:t>
      </w:r>
      <w:r>
        <w:rPr>
          <w:rFonts w:ascii="Times New Roman CYR" w:hAnsi="Times New Roman CYR" w:cs="Times New Roman CYR"/>
          <w:sz w:val="28"/>
          <w:szCs w:val="28"/>
        </w:rPr>
        <w:lastRenderedPageBreak/>
        <w:t>соответствующих групп активов и пассивов. Баланс считается абсолютно ликвидным, если одновременно выполняются следующие условия: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А1&gt;П1,</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А2&gt;П2, &gt; ПЗ,</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&lt; П4.</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сопоставление первых двух групп активов и пассивов позволяет оценить текущую платежеспособность. Сравнение третьей группы активов и пассивов отражает долгосрочную (перспективную) платежеспособность. Четвертое неравенство не только носит «балансирующий» характер, но и означает соблюдение необходимого условия финансовой устойчивости - наличия у организации собственного оборотного капитала (СОК):</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 - СК - ВА,</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СК - собственный капитал организации;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 внеоборотные активы.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ликвидности Баланса по каждой группе активов и пассивов выявляют платежный излишек (+) или недостаток (-) -∆ПИ по формуле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 = А, - Щ</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At - величина активов f-ой группы;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величина пассивов определенной группы.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расчет проводится как на начало, так и на конец анализируемого периода, таким образом оценивается динамика уровня ликвидности Баланса. В случае, когда одно или несколько неравенств не соблюдаются, ликвидность Баланса в большей или меньшей степени отличается от абсолютной.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Проанализируем ликвидность Баланса МУП «Еланское КХ» (таблица 2.4).</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2.4 Оценка ликвидности Баланса МУП «Еланское КХ» за 2012 г.,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850"/>
        <w:gridCol w:w="1151"/>
        <w:gridCol w:w="976"/>
        <w:gridCol w:w="992"/>
        <w:gridCol w:w="1136"/>
        <w:gridCol w:w="1274"/>
        <w:gridCol w:w="1417"/>
      </w:tblGrid>
      <w:tr w:rsidR="001E3379">
        <w:trPr>
          <w:jc w:val="center"/>
        </w:trPr>
        <w:tc>
          <w:tcPr>
            <w:tcW w:w="2960" w:type="dxa"/>
            <w:gridSpan w:val="3"/>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Активы</w:t>
            </w:r>
          </w:p>
        </w:tc>
        <w:tc>
          <w:tcPr>
            <w:tcW w:w="3104" w:type="dxa"/>
            <w:gridSpan w:val="3"/>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Пассивы </w:t>
            </w:r>
          </w:p>
        </w:tc>
        <w:tc>
          <w:tcPr>
            <w:tcW w:w="269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Платежный излишек (+) или недостаток (-)</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Группировка активов (А)</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2012, года, тыс. руб.</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2012 года, тыс. руб.</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Группировка пассивов (П)</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2012, года, тыс. руб.</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2012 года, тыс. руб.</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2012, года, тыс. руб</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2012 года, тыс. руб.</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24475</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26128</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П1</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38758</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48697</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-14283</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-22569</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81272</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82822</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18200</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19322</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+63072</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+64622</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А3</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13800</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15248</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П3</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5401</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5605</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+8399</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+9643</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А4</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96559</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104714</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П4</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163335</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163389</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-66776</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-58675</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Баланс </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207494</w:t>
            </w:r>
          </w:p>
        </w:tc>
        <w:tc>
          <w:tcPr>
            <w:tcW w:w="11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210544</w:t>
            </w:r>
          </w:p>
        </w:tc>
        <w:tc>
          <w:tcPr>
            <w:tcW w:w="9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Баланс </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207494</w:t>
            </w:r>
          </w:p>
        </w:tc>
        <w:tc>
          <w:tcPr>
            <w:tcW w:w="11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210544</w:t>
            </w:r>
          </w:p>
        </w:tc>
        <w:tc>
          <w:tcPr>
            <w:tcW w:w="12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полученных данных таблицы 2.4 следует, что Баланс организации не является абсолютно ликвидным. В частности, она располагает платежным излишком как на начало год, так и на конец отчетного года по второй и третьей группе активов и пассивов, что свидетельствует о возможности погасить в полном объеме краткосрочные и долгосрочный кредиты и займы. Вместе с тем у организации наблюдается недостаток наиболее ликвидных активов, о чем свидетельствует отрицательная разница между первой группой активов и пассивов. Однако, учитывая, что в эту группу пассивов включена вся кредиторская задолженность и прочие краткосрочные обязательства, которые, как правило, не предъявляются кредиторами к оплате одновременно, сложившаяся ситуация не может свидетельствовать о кризисе неплатежей.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четвертой группы активов и пассивов позволяет установить наличие у МУП «Еланское КХ» собственного оборотного капитала, являющегося необходимым условием финансовой устойчивости организации.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к концу 2012 года значения соотношений между </w:t>
      </w:r>
      <w:r>
        <w:rPr>
          <w:rFonts w:ascii="Times New Roman CYR" w:hAnsi="Times New Roman CYR" w:cs="Times New Roman CYR"/>
          <w:sz w:val="28"/>
          <w:szCs w:val="28"/>
        </w:rPr>
        <w:lastRenderedPageBreak/>
        <w:t xml:space="preserve">отдельными группами активов и пассивов организации улучшаются. В частности, сокращается платежный недостаток по первой группе, увеличивается платежный излишек по второй и третьей, а также растет значение собственного оборотного капитала комбината.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наблюдается повышение ликвидности Баланса и платежеспособности организации.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Текущую платежеспособность организации оценивают также с помощью коэффициентов ликвидности (таблица 2.5).</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2.5 Коэффициенты ликвидности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55"/>
        <w:gridCol w:w="3491"/>
        <w:gridCol w:w="1417"/>
      </w:tblGrid>
      <w:tr w:rsidR="001E3379">
        <w:trPr>
          <w:jc w:val="center"/>
        </w:trPr>
        <w:tc>
          <w:tcPr>
            <w:tcW w:w="44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и его значение</w:t>
            </w:r>
          </w:p>
        </w:tc>
        <w:tc>
          <w:tcPr>
            <w:tcW w:w="349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Расчетная формула и источники информации (коды строк формы №1)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Оптимальное значение</w:t>
            </w:r>
          </w:p>
        </w:tc>
      </w:tr>
      <w:tr w:rsidR="001E3379">
        <w:trPr>
          <w:jc w:val="center"/>
        </w:trPr>
        <w:tc>
          <w:tcPr>
            <w:tcW w:w="44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49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E3379">
        <w:trPr>
          <w:jc w:val="center"/>
        </w:trPr>
        <w:tc>
          <w:tcPr>
            <w:tcW w:w="44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 показывает, какая часть краткосрочных обязательств может быть погашена на дату составления Баланса</w:t>
            </w:r>
          </w:p>
        </w:tc>
        <w:tc>
          <w:tcPr>
            <w:tcW w:w="349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(стр.260+стр.250) / (стр.610+стр.620 +стр.630+стр. 660)</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0,2-0,3</w:t>
            </w:r>
          </w:p>
        </w:tc>
      </w:tr>
      <w:tr w:rsidR="001E3379">
        <w:trPr>
          <w:jc w:val="center"/>
        </w:trPr>
        <w:tc>
          <w:tcPr>
            <w:tcW w:w="44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ликвидности (промежуточный коэффициент покрытия) - показывает, какая часть краткосрочных обязательств может быть погашена за счет как имеющихся денежных средств, так и ожидаемых поступлений от дебиторов</w:t>
            </w:r>
          </w:p>
        </w:tc>
        <w:tc>
          <w:tcPr>
            <w:tcW w:w="349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(стр.260+стр.250+стр.240) / (стр.610+стр.620+стр.630+ стр.660)</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r>
      <w:tr w:rsidR="001E3379">
        <w:trPr>
          <w:jc w:val="center"/>
        </w:trPr>
        <w:tc>
          <w:tcPr>
            <w:tcW w:w="44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(оющий коэффициент покрытия) - позволяет оценить, в какой степени оборотные актив покрывают краткосрочные обязательства</w:t>
            </w:r>
          </w:p>
        </w:tc>
        <w:tc>
          <w:tcPr>
            <w:tcW w:w="349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(стр.290) / (стр.610+стр.620 +стр.630+стр.660)</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показатели в таблице 1.5 рассчитываются на 2009 и 2011 года, оценивается их динамика и выявляются факторы, вызвавшие изменение уровня текущей ликвидности (таблица 2.6).</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2.6 Оценка платежеспособности МУП «Еланское КХ»,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39"/>
        <w:gridCol w:w="1483"/>
        <w:gridCol w:w="992"/>
        <w:gridCol w:w="850"/>
        <w:gridCol w:w="851"/>
        <w:gridCol w:w="1276"/>
      </w:tblGrid>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строки Баланса</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 тыс. руб.</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2011год тыс. руб.</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 тыс. руб.</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к 2012 году</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Оптимальное значение</w:t>
            </w:r>
          </w:p>
        </w:tc>
        <w:tc>
          <w:tcPr>
            <w:tcW w:w="992"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E3379">
        <w:trPr>
          <w:jc w:val="center"/>
        </w:trPr>
        <w:tc>
          <w:tcPr>
            <w:tcW w:w="9291" w:type="dxa"/>
            <w:gridSpan w:val="6"/>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Исходные данные для анализа</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денежные средства и краткосрочные финансовые вложения</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260+250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6434</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-1268</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краткосрочная дебиторская задолженность</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44525</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111011</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96202</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+51677</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общая величина оборотных активов</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134235</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254206</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251785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+117550</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краткосрочные обязательства</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610+620+630+660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105669</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91525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98526</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-7143</w:t>
            </w:r>
          </w:p>
        </w:tc>
      </w:tr>
      <w:tr w:rsidR="001E3379">
        <w:trPr>
          <w:jc w:val="center"/>
        </w:trPr>
        <w:tc>
          <w:tcPr>
            <w:tcW w:w="9291" w:type="dxa"/>
            <w:gridSpan w:val="6"/>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Оценка текущей платежеспособности</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коэффициент абсолютной ликвидности</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0,2-0,3</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0,073</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0,084</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коэффициент критической ликвидности</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1,297</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+0,548</w:t>
            </w:r>
          </w:p>
        </w:tc>
      </w:tr>
      <w:tr w:rsidR="001E3379">
        <w:trPr>
          <w:jc w:val="center"/>
        </w:trPr>
        <w:tc>
          <w:tcPr>
            <w:tcW w:w="38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коэффициент текущей ликвидности </w:t>
            </w:r>
          </w:p>
        </w:tc>
        <w:tc>
          <w:tcPr>
            <w:tcW w:w="14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1,270</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2,556</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+1,286</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расчетов, представленных в таблице 2.6, следует, что 2010 году МУП «Еланское КХ» за счет имеющихся денежных средств (краткосрочные финансовые вложения отсутствуют) в состоянии было погасить только 7,3% своих краткосрочных обязательств, а в 2012 году - еще меньше (6,5%). Вместе с тем если организация получит деньги от дебиторов, то в 2012 году она сможет расплатиться по всем своим долгам (коэффициент критической ликвидности на конец года составил 1,042). В то же время, в случае реализации запасов, у организации возникает на ту же дату значительный запас средств для погашения краткосрочных обязательств (коэффициент текущей ликвидности - 2,556).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следует отметить, что у МУП «Еланское КХ» наблюдается недостаток абсолютно ликвидных активов. К 2012 году происходит увеличение дебиторской задолженности, что способствует росту коэффициента критической ликвидности. Однако основным источником покрытия краткосрочных обязательств являются запасы. Их значительный рост - в 1,9 раза (см. таблицу 1.2) привел к существенному повышению коэффициента текущей ликвидности с 1,270 до 2,556. В целом текущая платежеспособность МУП «Еланское КХ» возросла к 2012 году.</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характеристик стабильного положения организации служит ее финансовая устойчивость. Она обусловлена стабильностью экономической среды, в которой осуществляется деятельность предприятия, и результатами его </w:t>
      </w:r>
      <w:r>
        <w:rPr>
          <w:rFonts w:ascii="Times New Roman CYR" w:hAnsi="Times New Roman CYR" w:cs="Times New Roman CYR"/>
          <w:sz w:val="28"/>
          <w:szCs w:val="28"/>
        </w:rPr>
        <w:lastRenderedPageBreak/>
        <w:t>функционирования.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 Финансовая устойчивость означает:</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стабильное превышение доходов над расходами;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свободное маневрирование денежными средствами и эффективное их использование;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бесперебойный процесс производства и продаж товаров, работ, услуг.</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финансовую устойчивость оказывает влияние множество факторов, которые можно разделить на внешние и внутренние.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внешним факторам финансовой устойчивости относятся: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условия хозяйствования;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господствующая в обществе техника и технология;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платежеспособный спрос и уровень доходов потребителей;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и кредитная политика государства;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развития внешнеэкономических связей;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отраслевая принадлежность организации и др. Внутренними факторами, влияющими на финансовую устойчивость организации, являются: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выпускаемой продукции, ее доля в общем платежеспособном спросе;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и структура расходов, их соотношение с денежными доходами;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и структура имущества;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 эффективность использования капитала (собственного и заемного);</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компетентность и профессионализм менеджеров организации, гибкость проводимой ими экономической и финансовой политики (умение реагировать на </w:t>
      </w:r>
      <w:r>
        <w:rPr>
          <w:rFonts w:ascii="Times New Roman CYR" w:hAnsi="Times New Roman CYR" w:cs="Times New Roman CYR"/>
          <w:sz w:val="28"/>
          <w:szCs w:val="28"/>
        </w:rPr>
        <w:lastRenderedPageBreak/>
        <w:t>изменение внутренней и внешней среды) и др.</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устойчивость оценивается с помощью абсолютных и относительных показателей. Абсолютные показатели финансовой устойчивости - это показатели, характеризующие состояние запасов и обеспеченность их источниками формирования.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общая величина запасов берется равной сумме значений строк 210 «Запасы» и 220 «НДС по приобретенным ценностям» Баланса соответственно (сумма такого НДС учитывается при расчете, так как до принятия его к возмещению из бюджета НДС должен финансироваться за счет источников формирования запасов).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источников формирования запасов используются показатели, отражающие степень охвата разных видов источников: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собственного оборотного капитала (СОК):</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 = СК - ВА = сумма стр. 490, 640, 650 - стр. 190;</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собственного и приравненного к нему капитала - перманентного капитала (ПК):</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ПК = СОК + ДО (стр. 590),</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ДО - долгосрочные обязательства;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общая величина основных источников формирования запасов (ОИ):</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ОИ = СОК + ДО + КК (стр. 610),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КК - краткосрочные кредиты и займы. Трем показателям наличия </w:t>
      </w:r>
      <w:r>
        <w:rPr>
          <w:rFonts w:ascii="Times New Roman CYR" w:hAnsi="Times New Roman CYR" w:cs="Times New Roman CYR"/>
          <w:sz w:val="28"/>
          <w:szCs w:val="28"/>
        </w:rPr>
        <w:lastRenderedPageBreak/>
        <w:t>источников формирования запасов соответствуют три показателя обеспеченности запасов этими источниками: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излишек (+) или недостаток (-) собственного оборотного капитала (∆СОК):</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 = СОК - З, где З - запасы;</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излишек (+) или недостаток (-) перманентного капитала (∆ПК):</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∆ПК - ПК - З;</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излишек (+) или недостаток (-) основных источников формирования запасов (∆ОИ):</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144145" cy="144145"/>
            <wp:effectExtent l="0" t="0" r="8255"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144145" cy="144145"/>
            <wp:effectExtent l="0" t="0" r="8255" b="825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Pr>
          <w:rFonts w:ascii="Times New Roman CYR" w:hAnsi="Times New Roman CYR" w:cs="Times New Roman CYR"/>
          <w:sz w:val="28"/>
          <w:szCs w:val="28"/>
        </w:rPr>
        <w:t>ОИ = ОИ - З</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Выявление этих трех показателей позволяет определить тип финансовой устойчивости организации. Выделяют четыре типа финансовой устойчивости: абсолютная, нормальная, неустойчивое состояние, кризис.</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Абсолютная устойчивость финансового состояния - встречается крайне редко и задается условием: излишком (+) СОК или его равенством с величиной запасов, т.е.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 &gt; 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Нормальная устойчивость финансового состояния - гарантирует платежеспособность и задается условиями: недостатком (-) СОК;</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излишком (+) ПК или его равенством с величиной запасов, т.е.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 &lt; 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ПК&gt;З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ОИ≥З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Неустойчивое финансовое состояние - сопряжено с нарушением платежеспособности, однако сохраняется возможность восстановить равновесие за счет пополнения собственного капитала и дополнительного привлечения кредитов и займов. Этот тип финансовой устойчивости задается условиями: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недостатком (-) СОК;</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недостатком (-) ПК;</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излишком (+) ОИ или их равенством с величиной запасов, т.е.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СОК&lt;З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ПК &lt; 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ОИ &gt; 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Кризисное финансовое состояние означает, что организация находится на грани банкротства, так как в этой ситуации денежные средства, краткосрочные финансовые вложения, дебиторская задолженность и прочие оборотные активы не покрывают даже кредиторской задолженности и прочих краткосрочных обязательств. Этот тип финансовой устойчивости задается условием: недостатком (-) ОИ, т.е.</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ОИ&lt;3З</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представленных расчетов вытекают два основных способа выхода из неустойчивого и кризисного финансового состояния: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пополнение источников формирования запасов (прежде всего за счет прибыли, привлечения на выгодных условиях кредитов и займов) и оптимизация их структуры;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обоснованное снижение уровня запасов (в результате планирования их остатков, усиления контроля за их использованием, реализации неиспользуемых товарно-материальных ценностей и др.).</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Расчет абсолютных показателей финансовой устойчивости МУП </w:t>
      </w:r>
      <w:r>
        <w:rPr>
          <w:rFonts w:ascii="Times New Roman CYR" w:hAnsi="Times New Roman CYR" w:cs="Times New Roman CYR"/>
          <w:sz w:val="28"/>
          <w:szCs w:val="28"/>
        </w:rPr>
        <w:lastRenderedPageBreak/>
        <w:t>«Еланское КХ» представлен в таблице 2.7.</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2.7 Анализ обеспеченности запасов источниками их формирования,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5"/>
        <w:gridCol w:w="1134"/>
        <w:gridCol w:w="1134"/>
        <w:gridCol w:w="1134"/>
        <w:gridCol w:w="992"/>
      </w:tblGrid>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отчетный год тыс. 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отчетный год тыс. 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отчетный год тыс. руб.</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Запасы (включая НДС но приобретенным ценностям)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82008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135493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149149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+67141</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Собственный капитал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289268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311359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+66531</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Внеоборотные активы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231505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245948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266017</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+34502</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Наличие собственного оборотного капитала (п. 2- п. 3)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43320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45342</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+32019</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Долгосрочные обязательства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124192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107917</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+92674</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Наличие собственных и долгосрочных источников формирования запасов (перманентного капитала) (п. 4 + п. 5)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28566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167512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153259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+124693</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Краткосрочные кредиты и займы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35221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Общая величина основных источников формирования запасов (п. 6 + п. 7)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63787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190956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188259</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+124472 </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Излишек (+) или недостаток (-) собственного оборотного капитала (п. 4 - п. 1)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(68685)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(92173)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(103807)</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+(35122)</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Излишек (+) или недостаток (-) собственных и долгосрочных источников формирования запасов (перманентного капитала) (п. 6 - и. 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(53442)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+57552</w:t>
            </w:r>
          </w:p>
        </w:tc>
      </w:tr>
      <w:tr w:rsidR="001E3379">
        <w:trPr>
          <w:jc w:val="center"/>
        </w:trPr>
        <w:tc>
          <w:tcPr>
            <w:tcW w:w="45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Излишек (+) или недостаток (-) основных источников формирования запасов (п.8-п.1) </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55463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39110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+57331</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Проведенные расчеты показателей обеспеченности запасов источниками их формирования (таблица 2.7) позволили установить, что анализируемая организация в 2010 году находилась в кризисном финансовом состоянии, так как ни собственных средств, ни долгосрочных и краткосрочных кредитов и займов было недостаточно для формирования запасов. Однако к 2012 году за счет значительного увеличения на 92 674 тыс. руб., или в 7,1 раза (107 917 : 15 243) долгосрочных обязательств организация смогла восполнить недостаток средств для формирования запасов и ее финансовое состояние теперь можно охарактеризовать как нормальное устойчивое.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устойчивость может быть оценена с помощью относительных показателей - коэффициентов, характеризующих степень независимости </w:t>
      </w:r>
      <w:r>
        <w:rPr>
          <w:rFonts w:ascii="Times New Roman CYR" w:hAnsi="Times New Roman CYR" w:cs="Times New Roman CYR"/>
          <w:sz w:val="28"/>
          <w:szCs w:val="28"/>
        </w:rPr>
        <w:lastRenderedPageBreak/>
        <w:t>организации от внешних источников финансирования. В теории и практике таких показателей насчитывается несколько десятков, однако, на наш взгляд, многие из них дублируют друг друга. Наиболее распространенные коэффициенты финансовой устойчивости представлены в таблице 2.8.</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2.8 Показатели финансовой устойчивости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2"/>
        <w:gridCol w:w="2655"/>
        <w:gridCol w:w="1365"/>
      </w:tblGrid>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и его значение</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Расчетная формула и источники информации (коды строк формы №1)</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Оптимальное значение</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независимости (автономии или концентрации собственного капитала) - характеризует долю собственных средств в общей величине источников финансирования деятельности организации</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 490 + стр. 640 + стр. 650) / стр. 700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зависимости (концентрации заемного капитала) - характеризует долю заемных средств в общей величине источников финансирования деятельности организации</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 590 + стр. 610 + стр. 620 + стр. 630 + стр. 660) / стр. 700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финансовой удельный вес источников финансирования, которые могут быть использованы длительное время</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стр. 490, 640, 650) + стр. 590) / стр. 700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0,8-0,9</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Коэффициент финапсирования - характеризует соотношение собственных и заемных средств </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 490 + стр. 640 + стр. 650) / (стр. 590 + стр. 610 + стр. 620 + стр. 630 + стр. 660)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Коэффициент финансовой активности - характсризует соотношение заемных и собственных средств</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 590 + стр. 610 + стр. 620 + стр. 630 + стр. 660) / (стр. 490 + стр. 640 + стр. 650)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Собственный оборотный капитал - характеризует величину оборотных средств, сформированных за счет собственных источников</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 490 + стр. 640 + стр. 650) - стр. 190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&gt;10% от стоимости оборотных активов</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Коэффициент маневренности собственного капитала - показывает, какая часть собственных средств вложена в наиболее мобильные (оборотные) активы</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6 таблицы) / (стр. 490 + стр. 640 + стр. 650)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0,2 - 0,5</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Коэффициент обеспеченности собственными оборотными средствами - показывает долю оборотных активов, сформированных за счет собственных источников, в общей величине оборотных активов</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6 таблицы) /стр. 290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Коэффициент обеспеченности запасов собственными источниками - показывает, в какой степени запасы предприятия сформированы за счет собственных средств или нуждаются в привлечении заемных</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6 таблицы) / (стр. 210 + стр. 220)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0,6- 0,8</w:t>
            </w:r>
          </w:p>
        </w:tc>
      </w:tr>
      <w:tr w:rsidR="001E3379">
        <w:trPr>
          <w:jc w:val="center"/>
        </w:trPr>
        <w:tc>
          <w:tcPr>
            <w:tcW w:w="506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Коэффициент (индекс) постоянного актива - показывает долю внеоборотных активов в величине собственных источников средств</w:t>
            </w:r>
          </w:p>
        </w:tc>
        <w:tc>
          <w:tcPr>
            <w:tcW w:w="265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 190 / (стр. 490 + стр. 640 + стр. 650)</w:t>
            </w:r>
          </w:p>
        </w:tc>
        <w:tc>
          <w:tcPr>
            <w:tcW w:w="136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Cambria Math" w:hAnsi="Cambria Math" w:cs="Cambria Math"/>
                <w:sz w:val="20"/>
                <w:szCs w:val="20"/>
              </w:rPr>
              <w:t>˂</w:t>
            </w:r>
            <w:r>
              <w:rPr>
                <w:rFonts w:ascii="Times New Roman CYR" w:hAnsi="Times New Roman CYR" w:cs="Times New Roman CYR"/>
                <w:sz w:val="20"/>
                <w:szCs w:val="20"/>
              </w:rPr>
              <w:t>1</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Следует отметить, что в теории и практике финансового анализа существует проблема точности исчисления собственного оборотного капитала (СОК). Наиболее распространенными являются следующие два варианта:</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1)СОК=СК-ВА;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 = ОА - КО.</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втором случае образуется величина, которую характеризуют как чистый оборотный капитал - ЧОК (оборотный капитал, очищенный от обязательств).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этих двух расчетов будут совпадать, если у организации отсутствуют долгосрочные обязательства. Если долгосрочные обязательства участвуют в формировании активов организации, то расчет СОК первым способом должен быть уточнен с учетом того, что долгосрочные пассивы предназначены, как правило, для формирования внеоборотных активов. Тогда формула расчета будет выглядеть следующим образом:</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 = СК + ДО-ВА.</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этой корректировки значение собственного оборотного капитала будет необоснованно занижено. Вместе с тем чаще всего прибегают к расчету СОК по первому варианту (это, в частности, заложено в нормативных актах к Федеральному закону от 26 октября 2002 г. № 127-ФЗ «О несостоятельности (банкротстве)») [1].</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финансовой устойчивости МУП «Еланское КХ» представлен в таблице 2.9.</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Динамика показателей финансовой устойчивости МУП «Еланское КХ»,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9"/>
        <w:gridCol w:w="1417"/>
        <w:gridCol w:w="1276"/>
        <w:gridCol w:w="993"/>
        <w:gridCol w:w="1134"/>
        <w:gridCol w:w="1701"/>
      </w:tblGrid>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строки Баланса</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 тыс. руб.</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 тыс. 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 тыс. руб.</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к 2012 году</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Оптимальное значение</w:t>
            </w:r>
          </w:p>
        </w:tc>
        <w:tc>
          <w:tcPr>
            <w:tcW w:w="1276"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E3379">
        <w:trPr>
          <w:jc w:val="center"/>
        </w:trPr>
        <w:tc>
          <w:tcPr>
            <w:tcW w:w="9180" w:type="dxa"/>
            <w:gridSpan w:val="6"/>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I. Исходные данные для анализа</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Внеоборотные активы</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231505</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245948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266017</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+34515</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Оборотные активы</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134235</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254206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251785</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+117500</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Валюта Баланса</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3654740</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500154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517802</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+152062</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Собсвенный капитал </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490+640+650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24828</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284436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311359</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+66531</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Долгосрочные обязательства</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124192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107917</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+92674</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Заемный капитал</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590+610+620+630+660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120912</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215718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206443</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+85531</w:t>
            </w:r>
          </w:p>
        </w:tc>
      </w:tr>
      <w:tr w:rsidR="001E3379">
        <w:trPr>
          <w:jc w:val="center"/>
        </w:trPr>
        <w:tc>
          <w:tcPr>
            <w:tcW w:w="9180" w:type="dxa"/>
            <w:gridSpan w:val="6"/>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Показатели финансовой устойчивости организации</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собсвенный оборот капитал (п.4 - п.1)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от стоимости оборотных активов </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38488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45342</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+32019</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коэффициент автономии (п.4/п.3)</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0,5 </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0,669</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0,601</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-0,068</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коэффициент финансовой устойчивости ((п.4.+п.5) / п3)</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0,8-0,9</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0,810</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+0,068</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коэффициент маневренности собственного капитала (п.7 / п.4)</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0,054</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0,146</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+0,092</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коэффициент концентрации заемного капитала (п.6 / п.3)</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0,399</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+0,068</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коэффициент обеспеченности собственными оборотными средствами (п.7 / п.2)</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0,099</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0,180</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+0,081</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коэффициент соотношения заемного и собственного капиталов (плечо финансового рычага) (п.6 / п.4)</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0,494</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0,663</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+0,169</w:t>
            </w:r>
          </w:p>
        </w:tc>
      </w:tr>
      <w:tr w:rsidR="001E3379">
        <w:trPr>
          <w:jc w:val="center"/>
        </w:trPr>
        <w:tc>
          <w:tcPr>
            <w:tcW w:w="26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индекс постоянного актива (п.1 / п.4)</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Cambria Math" w:hAnsi="Cambria Math" w:cs="Cambria Math"/>
                <w:sz w:val="20"/>
                <w:szCs w:val="20"/>
              </w:rPr>
              <w:t>˂</w:t>
            </w: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0,946</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0,854</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-0,092</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результаты позволяют увидеть, что исследуемая организация характеризуется достаточно высокой независимостью от внешних источников финансирования, так как доля собственных средств в общей величине источников финансирования на 2010 и 2012 года составляет более 60%.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счет привлечения долгосрочных кредитов и займов МУП «Еланское КХ» получил дополнительные источники финансирования своей деятельности, возврат которых предполагается более чем через год, что позволяет ему развивать свою инвестиционную деятельность и укреплять финансовую </w:t>
      </w:r>
      <w:r>
        <w:rPr>
          <w:rFonts w:ascii="Times New Roman CYR" w:hAnsi="Times New Roman CYR" w:cs="Times New Roman CYR"/>
          <w:sz w:val="28"/>
          <w:szCs w:val="28"/>
        </w:rPr>
        <w:lastRenderedPageBreak/>
        <w:t xml:space="preserve">устойчивость.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достаточно устойчивом финансовом состоянии свидетельствует тот факт, что на 2012 год коэффициент обеспеченности собственными оборотными средствами составил 0,18, т.е. 18% собственных средств организации направлено на пополнение оборотных активов.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учитывая наличие долгосрочных обязательств, более точный расчет показателя «Собственный оборотный капитал» позволяет получить более высокое значение как чистого (собственного) оборотного капитала, так и двух коэффициентов - коэффициента обеспеченности собственными оборотными средствами и коэффициента маневренности собственного капитала. В частности, по уточненному расчету на конец года СОК = ЧОК = 311 359 + 107 917 - 266 017 = 153 259 (тыс. руб.), а на начало года его значение составляет 244 828 + 15 243 - 231 505 = 28 566 (тыс. руб.). Отсюда коэффициент обеспеченности собственными оборотными средствами будет равен на 2012 год 0,609 (153 259 : 251 785), а на 2009 год - 0,213 (28 566 :134 235).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маневренности собственного капитала составит соответственно 0,492 (153 259 : 311 359) и 0,117 (28 566 : 244 828). Это означает, что если на 2010 год только 11,7% собственных и приравненных к ним средств направлялось на пополнение наиболее мобильной части имущества организации (оборотных активов), то на 2012 год - уже почти половина (49,2%). Таким образом, положительная динамика практически всех полученных коэффициентов свидетельствует о повышении финансовой устойчивости МУП «Елаское КХ».</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результаты деятельности организации в виде прибылей и убытков определяются путем сопоставления ее доходов и расходов в рамках конкретных отчетных периодов.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Доходами организации признается увеличение экономических выгод в </w:t>
      </w:r>
      <w:r>
        <w:rPr>
          <w:rFonts w:ascii="Times New Roman CYR" w:hAnsi="Times New Roman CYR" w:cs="Times New Roman CYR"/>
          <w:sz w:val="28"/>
          <w:szCs w:val="28"/>
        </w:rPr>
        <w:lastRenderedPageBreak/>
        <w:t>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Расходами организации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Отчете о прибылях и убытках (приложение 6) доходы представлены в виде выручки от выполненных работ и услуг.</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анализа структуры и динамики чистой прибыли организации - выявление тенденций изменения этого показателя и всех элементов (статей) его формирования.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чистой прибыли включает три этапа.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I предусматривает расчет и анализ динамики (абсолютного изменения и темпов роста) чистой прибыли в отчетном году по сравнению с предыдущим и всех статей ее формирования (горизонтальный анализ). В процессе такого анализа необходимо обратить внимание на сокращение доходов и прибылей, а также увеличение расходов и убытков, полученных от различных операций и видов деятельности (таблица 2.10).</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2.10 Динамика факторов формирования чистой прибыли МУП «Еланское КХ»,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0"/>
        <w:gridCol w:w="1115"/>
        <w:gridCol w:w="993"/>
        <w:gridCol w:w="1134"/>
        <w:gridCol w:w="1275"/>
        <w:gridCol w:w="866"/>
        <w:gridCol w:w="6"/>
      </w:tblGrid>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 тыс. руб.</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2011 год тыс. 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2012 год тыс. руб.</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к 2012 году (+,-) тыс. руб.</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к 2012 году, %</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(нетто) </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870421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1307452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1307452</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+435920</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150,08</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работ, услуг</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654975</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988715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987604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+332629</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150,78</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515446</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319848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318737</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+103291</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147,94</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89581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133259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132148</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+42567</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147,52</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40082</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57007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55896</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+15814</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139,45</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85783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131804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130693</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+44910</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152,35</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2699</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73,51</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17822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16711</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+4998</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142,67</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операционные доходы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3447</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+5968</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273,14</w:t>
            </w:r>
          </w:p>
        </w:tc>
      </w:tr>
      <w:tr w:rsidR="001E3379">
        <w:trPr>
          <w:gridAfter w:val="1"/>
          <w:wAfter w:w="6" w:type="dxa"/>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операционные расходы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6920</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29254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28143</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+21223</w:t>
            </w:r>
          </w:p>
        </w:tc>
        <w:tc>
          <w:tcPr>
            <w:tcW w:w="86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406,7</w:t>
            </w:r>
          </w:p>
        </w:tc>
      </w:tr>
      <w:tr w:rsidR="001E3379">
        <w:trPr>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прочих доходов (за минусом расходов)</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(12487)</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(33455)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(33455)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+(20968)</w:t>
            </w:r>
          </w:p>
        </w:tc>
        <w:tc>
          <w:tcPr>
            <w:tcW w:w="872"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267,92</w:t>
            </w:r>
          </w:p>
        </w:tc>
      </w:tr>
      <w:tr w:rsidR="001E3379">
        <w:trPr>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73296</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98345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97238</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+23942</w:t>
            </w:r>
          </w:p>
        </w:tc>
        <w:tc>
          <w:tcPr>
            <w:tcW w:w="872"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132,66</w:t>
            </w:r>
          </w:p>
        </w:tc>
      </w:tr>
      <w:tr w:rsidR="001E3379">
        <w:trPr>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1232</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+1232</w:t>
            </w:r>
          </w:p>
        </w:tc>
        <w:tc>
          <w:tcPr>
            <w:tcW w:w="872"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+3794</w:t>
            </w:r>
          </w:p>
        </w:tc>
        <w:tc>
          <w:tcPr>
            <w:tcW w:w="872"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17591</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26388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25277</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+7686</w:t>
            </w:r>
          </w:p>
        </w:tc>
        <w:tc>
          <w:tcPr>
            <w:tcW w:w="872"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143,69</w:t>
            </w:r>
          </w:p>
        </w:tc>
      </w:tr>
      <w:tr w:rsidR="001E3379">
        <w:trPr>
          <w:jc w:val="center"/>
        </w:trPr>
        <w:tc>
          <w:tcPr>
            <w:tcW w:w="354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Чистая прибыль (убыток) </w:t>
            </w:r>
          </w:p>
        </w:tc>
        <w:tc>
          <w:tcPr>
            <w:tcW w:w="111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55705</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70510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69399</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+13694</w:t>
            </w:r>
          </w:p>
        </w:tc>
        <w:tc>
          <w:tcPr>
            <w:tcW w:w="872"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124,58</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2.10 позволяют видеть, что в 2012 году по сравнению с 2010 и 2011 годами произошло увеличение прибыли от продаж на 44 910 тыс. руб., или в 1,5 раза, прибыли до налогообложения - на 23942 тыс. руб., или 32,66 пункта, чистой прибыли - на 13 694 тыс. руб., или 24,58 пункта. Положительная динамика результата от обычных видов деятельности сложилась вследствие опережающего роста выручки (на 50,08 пункта) по сравнению коммерческим и управленческим расходами (их прирост составил 47,52 и 39,45 пункта соответственно).</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Отрицательным моментом в 2012 году является снижение процентов к получению - на 715 тыс. руб., или 26,29 пункта, а положительным - рост прочих доходов - на 5968 тыс. руб., или в 2,7 раза. Одновременно наблюдается увеличение прочих расходов - процентов к уплате на 4998 тыс. руб., или 42,67 </w:t>
      </w:r>
      <w:r>
        <w:rPr>
          <w:rFonts w:ascii="Times New Roman CYR" w:hAnsi="Times New Roman CYR" w:cs="Times New Roman CYR"/>
          <w:sz w:val="28"/>
          <w:szCs w:val="28"/>
        </w:rPr>
        <w:lastRenderedPageBreak/>
        <w:t>пункта, других расходов - па 21 223 тыс. руб., или в 4,1 раза. При этом прочие расходы превышают соответствующие доходы. К тому же отрицательное сальдо этих доходов и расходов в отчетном году увеличивается в 2,7 раза.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Сложившаяся динамика рассмотренных факторов привела к «проеданию» части заработанной прибыли от продаж и получению прибыли до налогообложения в сумме, меньшей по сравнению с результатом от обычных видов деятельности. Обращает на себя внимание и тот факт, что темп прироста прибыли до налогообложения составляет 32,66 пункта, а чистой прибыли - только 24,58 пункта. Это означает, что в 2012 году налоговое бремя по уплате налога на прибыль стало более значительным по сравнению с предыдущими 2010 и 2011 годами.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факторами, сдерживающими рост чистой прибыли, является снижение прочих доходов, увеличение прочих расходов, а также факторы, связанные с налогообложением прибыли.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II включает расчет и анализ структуры чистой прибыли в отчетном и предыдущем периоде, т.е. удельного веса отдельных ее элементов в общей величине прибыли. При этом выявляются приоритетные составляющие доходов, расходов и соответственно финансовых результатов для того, чтобы в дальнейшем провести их углубленный анализ, выявить причины снижения доходов и увеличения расходов.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этапе III проводится расчет и оценка изменений в структуре чистой прибыли, что позволяет выявить структурные сдвиги в статьях формирования прибыли. Следует заметить, что поскольку источником формирования чистой прибыли является прибыль до налогообложения, представляющая собой суммарный финансовый результат всех операции и видов деятельности организации, нередко в ходе анализа структуры финансовых результатов за 100% принимают последний показатель, т.е. находят удельный вес отдельных </w:t>
      </w:r>
      <w:r>
        <w:rPr>
          <w:rFonts w:ascii="Times New Roman CYR" w:hAnsi="Times New Roman CYR" w:cs="Times New Roman CYR"/>
          <w:sz w:val="28"/>
          <w:szCs w:val="28"/>
        </w:rPr>
        <w:lastRenderedPageBreak/>
        <w:t>элементов формирования чистой прибыли в общей сумме прибыли до налогообложения (таблица 2.11).</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2.11 Динамика структуры прибыли до налогообложения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850"/>
        <w:gridCol w:w="1134"/>
        <w:gridCol w:w="851"/>
        <w:gridCol w:w="1010"/>
        <w:gridCol w:w="974"/>
        <w:gridCol w:w="995"/>
        <w:gridCol w:w="1275"/>
      </w:tblGrid>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984"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w:t>
            </w:r>
          </w:p>
        </w:tc>
        <w:tc>
          <w:tcPr>
            <w:tcW w:w="186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2011 год</w:t>
            </w:r>
          </w:p>
        </w:tc>
        <w:tc>
          <w:tcPr>
            <w:tcW w:w="196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2012 год</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к 2012 году (+,-) тыс. руб.</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валюте баланса</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валюте баланса</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 к валюте баланса </w:t>
            </w:r>
          </w:p>
        </w:tc>
        <w:tc>
          <w:tcPr>
            <w:tcW w:w="127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85783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131804</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134,02</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130693</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3095</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1984</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(17822)</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(18,13)</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(16711)</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операционные доходы</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10526</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9415</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операционные расходы</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(29254)</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(29,77)</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(28143)</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Сальдо прочих доходов и расходов</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(33455)</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(34,02)</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(33455)</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73296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98345</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97238</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17591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26388</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26,83</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27839</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1E3379">
        <w:trPr>
          <w:jc w:val="center"/>
        </w:trPr>
        <w:tc>
          <w:tcPr>
            <w:tcW w:w="22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Чистая прибыль отчетного периода </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55705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70510</w:t>
            </w:r>
          </w:p>
        </w:tc>
        <w:tc>
          <w:tcPr>
            <w:tcW w:w="10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73,17</w:t>
            </w:r>
          </w:p>
        </w:tc>
        <w:tc>
          <w:tcPr>
            <w:tcW w:w="97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69399</w:t>
            </w:r>
          </w:p>
        </w:tc>
        <w:tc>
          <w:tcPr>
            <w:tcW w:w="99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структуры финансовых результатов показал, что главным источником формирования прибыли до налогообложения и чистой прибыли является прибыль от продаж. В 2010 году последний показатель составлял 117% от прибыли до налогообложения, а в 2012 году еще больше - 134,4%. Одновременно усиливается влияние прочих доходов и расходов.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как в 2010, так и в 2012 году расходы превышали доходы. Сложившаяся ситуация привела к тому что на покрытие отрицательного сальдо прочих доходов и расходов в 2012году было направлено 34,4% прибыли до налогообложения, в то время как 2010 году только 17%.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Обращает на себя внимание тот факт, что в отчетном году сократилась доля </w:t>
      </w:r>
      <w:r>
        <w:rPr>
          <w:rFonts w:ascii="Times New Roman CYR" w:hAnsi="Times New Roman CYR" w:cs="Times New Roman CYR"/>
          <w:sz w:val="28"/>
          <w:szCs w:val="28"/>
        </w:rPr>
        <w:lastRenderedPageBreak/>
        <w:t>чистой прибыли в прибыли до налогообложения. Так, если в 2010 году конечный финансовый результат составлял 76% от прибыли до налогообложения, то в 2012 году - только 71,4%. Данное обстоятельство вызвано увеличением влияния налогового фактора на прибыль, поэтому организации следует подойти более взвешенно к проводимой ею налоговой политике.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производственные фонды представляют средства труда. По функциональному признаку или производственному назначению они делятся на группы, а их соотношение называется структурой.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структуру ОПФ на начало и конец года. Данные представить в таблице 2.12.</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2.12 видно, что основная часть введенных основных фондов относится к передаточным устройствам, а выбытие - к сооружениям. В целом на конец 2012 года наблюдается увеличение числа основных фондов. Это говорит о том, что предприятие ежегодно наращивает свои производственные фонды.</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2.12 Состав и структура основных производственных фондов за 2012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1286"/>
        <w:gridCol w:w="1134"/>
        <w:gridCol w:w="1134"/>
        <w:gridCol w:w="1276"/>
        <w:gridCol w:w="1205"/>
        <w:gridCol w:w="1239"/>
      </w:tblGrid>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Группы и виды ОПФ</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ОПФ на начало года, тыс. 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Структура ОПФ на начало года, % </w:t>
            </w:r>
          </w:p>
        </w:tc>
        <w:tc>
          <w:tcPr>
            <w:tcW w:w="2410"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ОПФ в течение года, тыс. руб.</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ОПФ на конец года, тыс. руб.</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ОПФ на конец года, %</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286"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Ввод тыс. руб.</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Выбытие тыс. руб.</w:t>
            </w:r>
          </w:p>
        </w:tc>
        <w:tc>
          <w:tcPr>
            <w:tcW w:w="120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25638</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10252</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103714</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45,41</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65635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26094</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54593</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Передаточные устройства </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43052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32088</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18053</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57087</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2217</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13898</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12467</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Инструменты, приспособления, инвентарь</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802</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w:t>
            </w:r>
          </w:p>
        </w:tc>
        <w:tc>
          <w:tcPr>
            <w:tcW w:w="128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222251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69099</w:t>
            </w:r>
          </w:p>
        </w:tc>
        <w:tc>
          <w:tcPr>
            <w:tcW w:w="120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228382</w:t>
            </w:r>
          </w:p>
        </w:tc>
        <w:tc>
          <w:tcPr>
            <w:tcW w:w="123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Основным источником простого воспроизводства основных фондов являются амортизационные отчисления - часть постоянных издержек производства, соответствующая степени их износа.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Амортизация - это денежное возмещение износа ОПФ путем включения их стоимости в затраты на выпуск продукции. Амортизация начисляется отдельно по каждому объекту амортизируемого имущества.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Амортизационные отчисления определяются двумя методами: линейным и нелинейным. Линейный метод начисления амортизации применяется к основным фондам (ОФ), входящим в 8-10 амортизационные группы, независимо от сроков ввода в эксплуатацию этих объектов.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курсовой работе используется линейный метод начисления амортизации. Учитывая постоянное движение основных фондов на предприятии в течении года амортизационные отчисления определяются по среднегодовой стоимости основных фондов в пределах амортизационной группы.</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начисленной амортизации относится на себестоимость выпускаемой продукции, выполненных работ или оказанных услуг ежемесячно; в сезонных производствах годовая сумма амортизационных отчислений включается в издержки производства за период работы предприятия в году.</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Начисление амортизации по основным фондам, вновь введенным в эксплуатацию, начинается с 1-го числа месяца, следующего за месяцем их ввода в эксплуатацию, а по выбывшим основным фондам прекращается с 1-го числа месяца, следующего за месяцем выбытия.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 амортизации по каждому объекту амортизируемого имущества определяется по формуле: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 (1 / n) Ч 100 %,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На - норма амортизации в процентах к первоначальной (восстановительной) стоимости объекта амортизируемого имущества;- срок полезного использования данного объекта амортизируемого имущества, выраженный в месяцах.</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постоянное движение основных фондов на предприятии в течение года (ввод, выбытие), амортизационные отчисления определяются по среднегодовой стоимости основных фондов в пределах амортизационной группы, которая определяется по формуле: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ОФср.год = ОФн.г. + (ОФвв*tвв/12) - (ОФвыб.*tвыб/12),</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ОФн. г. - стоимость основных фондов на начало года, руб.;</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ОФвв - стоимость основных фондов, вводимых в течение года; руб.</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ОФвыб. - стоимость основных фондов, выбывающих в данном году; руб.вв. - число полных месяцев работы вводимых основных фондов с момента ввода до конца года;выб. - число полных месяцев, в течение которых выбывающие основные фонды не работают с момента выбытия до конца года.</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Амортизационные отчисления за год определяются по формуле: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Агод.= На * ОФср.год</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 расчету среднегодовой стоимости основных фондов и годовой суммы амортизационных отчислений необходимо занести в таблицу 2.13.</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2.13 Среднегодовая стоимость ОПФ и годовая сумма амортизационных отчислений,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850"/>
        <w:gridCol w:w="1560"/>
        <w:gridCol w:w="710"/>
        <w:gridCol w:w="849"/>
        <w:gridCol w:w="1134"/>
        <w:gridCol w:w="1559"/>
      </w:tblGrid>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Группы и виды ОПФ</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Амортизационные группы ОПФ</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амортизации по амортизационным группам ОПФ, %</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Месяц ввода ОПФ</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Месяц выбытия ОПФ</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ОПФ, тыс. руб.</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Годовая сумма амортизационных отчислений, тыс. руб.</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1.Здания</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103709,7</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414838,8</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49241,5</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329918,1</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Передаточные устройства</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58926,3</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842646,1</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20808,6</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208086</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Инструменты, приспособления, инвентарь</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773,4</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38670</w:t>
            </w:r>
          </w:p>
        </w:tc>
      </w:tr>
      <w:tr w:rsidR="001E3379">
        <w:trPr>
          <w:jc w:val="center"/>
        </w:trPr>
        <w:tc>
          <w:tcPr>
            <w:tcW w:w="255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Итого</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56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1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8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233459,5</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1834159</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 экономический показатель, характеризующий уровень эффективности использования основных производственных фондов предприятия. Фондоотдача вычисляется по формуле: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Фо=В/ ОФср.год ,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В-выручка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Фондоемкость - показатель, (обратный показателю фондоотдача ), который показывает стоимость основных производственных фондов, которые приходятся на одну денежную единицу выпущенной предприятием продукции. Фондоемкость вычисляется по формуле:</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Фе= ОФср.год/В.</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Фо2010=1307452/233459,5=5,6;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Фо2011=1306341/233459,5=5,59;</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Фе2010=233459,5/1307452=0,18;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Фе2011=233459,5/1306341=0,179.</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основание данных вычислений можно сделать вывод, что показатели использования ОПФ почти не изменились, т.к. разницы коэффициентов совсем мала (на 0,01 пункт) это говорит о том что на увеличение прибыли предприятия это не влияет.</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Основные направления совершенствования финансово-хозяйственной деятельности МУП «Еланское КХ»</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Мероприятия, направленные на ускорение оборачиваемости расчетов с дебиторами и кредиторами</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анализа установлено, что в МУП «Еланское КХ» необходимо управлять дебиторской и кредиторской задолженностью. Проведем анализ структуры дебиторской и кредиторской задолженности (таблица 3.1), а также качественные показатели оборачиваемости.</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3.1 Структура дебиторской и кредиторской задолженности МУП «Еланское КХ»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1"/>
        <w:gridCol w:w="851"/>
        <w:gridCol w:w="708"/>
        <w:gridCol w:w="851"/>
        <w:gridCol w:w="850"/>
        <w:gridCol w:w="851"/>
        <w:gridCol w:w="850"/>
        <w:gridCol w:w="851"/>
        <w:gridCol w:w="850"/>
      </w:tblGrid>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559"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70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70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1701" w:type="dxa"/>
            <w:gridSpan w:val="2"/>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общей валюте</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общей валюте</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общей валюте</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 всего</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44525</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111011</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96202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+51677</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Покупатели и заказчики</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14940</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76822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75445</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78,42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+60505</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+44,87</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Авансы выданные</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29585</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34189</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20757</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21,58</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-8828</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-44,87</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 всего</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70448</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68082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63526</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Поставщики и подрядчики</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57876</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82,15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58088</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53229</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83,79</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-4647</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персона-лом</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2982</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3011</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6292</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+3310</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гос. внебюджетными фондами</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1477</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2095</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2098</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r>
      <w:tr w:rsidR="001E3379">
        <w:trPr>
          <w:jc w:val="center"/>
        </w:trPr>
        <w:tc>
          <w:tcPr>
            <w:tcW w:w="246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6018</w:t>
            </w:r>
          </w:p>
        </w:tc>
        <w:tc>
          <w:tcPr>
            <w:tcW w:w="70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3297</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1495</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-4523</w:t>
            </w:r>
          </w:p>
        </w:tc>
        <w:tc>
          <w:tcPr>
            <w:tcW w:w="8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Из данных таблицы 3.1 видно, что происходит увеличение дебиторской задолженности - на 51677 тыс.руб., а в частности расчеты с покупателями и за-казчиками - на 6055 тыс.руб. (44,87 пункта).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МУП «Еланское КХ» важно не допустить дальнейшего роста доли дебиторской задолженности в общем объеме оборотных активов предприятия - это может повлечь за собой снижение всех финансовых показателей, за-медление оборота ресурсов, а вследствие - снижение возможности оплачивать свои обязательства перед кредиторами. </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3.1 рассчитаем качественные показатели оборачиваемости дебиторской и кредиторской задолженности.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задолженности представляет собой соот-ношение годовой выручки предприятия к величине кредиторской задолжено-сти или дебиторской.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Кодз 2010=1,95;</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Кодз 2011=11,78;</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Кодз 2012=13,58;</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Кокз 2010=1,24;</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Кокз 2011=19,2;</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Кокз 2012=20,56.</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период оборачиваемости дебиторской и кредиторской задолженности (кол-во календарных дней / коэффициент оборачиваемости):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Подз2010=187 дней;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Подз2011=31 день;</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Подз2012=27 дней;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Покз2010=294 дня;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Покз2011=19 дней;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Покз2012=18 дней.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Предлагаются следующие мероприятия по улучшению положения с дебиторами и кредиторами: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Установить систему взыскания долгов. При решении проблемы дебиторской задолженности предприятию необходимо отработать систему взыскания долгов: наиболее употребительными способами воздействия на дебиторов с целью погашения задолженности являются направление писем, телефонные звонки, персональные визиты, продажа задолженности специальным организациям.</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Аккумулировать информацию о состоянии дел клиентов предприятия.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дебиторской и кредиторской задолженности составлять платежный календарь с разбивкой по кварталам. Предлагается разработать такой вид платежного календаря как «Календарь инкассации дебиторской задолженности». По текущей дебиторской задолженности платежи включаются в календарь в суммах и в сроки, предусмотренные соответствующими договорами (контрактами) с контрагентами. По просроченной дебиторской задолженности эти платежи включаются в данный плановый документ на основе предварительного согласования сторон. Календарь инкассации дебиторской задолженности содержит только один раздел «График поступления денежных средств». В целях отражения реального денежного оборота предприятия датой поступления денежных средств считается день их зачисления на расчетный счет предприятия (это позволяет исключить период флоута в расчетах с дебиторами). Проводить данное мероприятие постоянно.</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Подготавливать юристу списки дебиторов, долг которых превышает более 3-х, 6-ти и 9-ти. Проводить постоянно.</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 (до 15 числа) анализировать исполнение договоров по своевременной оплате покупателей по данным отдела сбыта и бухгалтерии.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представленным документам отдела сбыта оформить исковые </w:t>
      </w:r>
      <w:r>
        <w:rPr>
          <w:rFonts w:ascii="Times New Roman CYR" w:hAnsi="Times New Roman CYR" w:cs="Times New Roman CYR"/>
          <w:sz w:val="28"/>
          <w:szCs w:val="28"/>
        </w:rPr>
        <w:lastRenderedPageBreak/>
        <w:t>требования по взысканию задолженности с кредиторов.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 производить сверку расчетов (предъявленная сумма и оплата) по всем предприятиям в целях контролирования дебиторской задолженности.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целях снижения кредиторской задолженности: на основании проведенного анализа и экономически обоснованных расчетов, разработать дальнейшую стратегию по сбору средств и привлечение источников финансирования, а именно обратиться с просьбой к учредителям предприятия о выделении средств на увеличение уставного капитала и пополнения оборотных средств. Для того, что произвести прогноз величины значений дебиторской задолженности на 2013 год построим линейную регрессионную модель и оценим качество данной модели, с помощью коэффициента детерминации. Чтобы спрогнозировать более точные значения имеются поквартальные данные по дебиторской задолженности.</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3.2 Исходные значения дебиторской задолженности МУП «Еланское КХ» за 2010 - 2012 гг. (в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750"/>
        <w:gridCol w:w="736"/>
        <w:gridCol w:w="764"/>
        <w:gridCol w:w="749"/>
        <w:gridCol w:w="750"/>
        <w:gridCol w:w="750"/>
        <w:gridCol w:w="750"/>
        <w:gridCol w:w="749"/>
        <w:gridCol w:w="750"/>
        <w:gridCol w:w="750"/>
        <w:gridCol w:w="750"/>
        <w:gridCol w:w="750"/>
      </w:tblGrid>
      <w:tr w:rsidR="001E3379">
        <w:trPr>
          <w:jc w:val="center"/>
        </w:trPr>
        <w:tc>
          <w:tcPr>
            <w:tcW w:w="3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Квартал</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2010</w:t>
            </w:r>
          </w:p>
        </w:tc>
        <w:tc>
          <w:tcPr>
            <w:tcW w:w="7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2010</w:t>
            </w:r>
          </w:p>
        </w:tc>
        <w:tc>
          <w:tcPr>
            <w:tcW w:w="76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2010</w:t>
            </w:r>
          </w:p>
        </w:tc>
        <w:tc>
          <w:tcPr>
            <w:tcW w:w="7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2010</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2011</w:t>
            </w:r>
          </w:p>
        </w:tc>
        <w:tc>
          <w:tcPr>
            <w:tcW w:w="7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2012</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2012</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2012</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E3379">
        <w:trPr>
          <w:jc w:val="center"/>
        </w:trPr>
        <w:tc>
          <w:tcPr>
            <w:tcW w:w="392"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1E3379">
        <w:trPr>
          <w:jc w:val="center"/>
        </w:trPr>
        <w:tc>
          <w:tcPr>
            <w:tcW w:w="3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Данные</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w:t>
            </w:r>
          </w:p>
        </w:tc>
        <w:tc>
          <w:tcPr>
            <w:tcW w:w="7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10823</w:t>
            </w:r>
          </w:p>
        </w:tc>
        <w:tc>
          <w:tcPr>
            <w:tcW w:w="76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9087</w:t>
            </w:r>
          </w:p>
        </w:tc>
        <w:tc>
          <w:tcPr>
            <w:tcW w:w="7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13584</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28048</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32051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26051</w:t>
            </w:r>
          </w:p>
        </w:tc>
        <w:tc>
          <w:tcPr>
            <w:tcW w:w="7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24050</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18081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41081</w:t>
            </w:r>
          </w:p>
        </w:tc>
        <w:tc>
          <w:tcPr>
            <w:tcW w:w="75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13040</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начальных значений a0 и b0 применим линейную модель к первым 8 значениям Y(t). Линейная модель имеет вид:</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(t)=a0 + b0*t. (3.1)</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наименьших квадратов дает возможность определить коэффициенты линейного уравнения a(0) и b(0) по формулам:</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1727200" cy="601345"/>
            <wp:effectExtent l="0" t="0" r="6350" b="825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7200" cy="601345"/>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1727200" cy="601345"/>
            <wp:effectExtent l="0" t="0" r="6350" b="825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7200" cy="601345"/>
                    </a:xfrm>
                    <a:prstGeom prst="rect">
                      <a:avLst/>
                    </a:prstGeom>
                    <a:noFill/>
                    <a:ln>
                      <a:noFill/>
                    </a:ln>
                  </pic:spPr>
                </pic:pic>
              </a:graphicData>
            </a:graphic>
          </wp:inline>
        </w:drawing>
      </w:r>
      <w:r>
        <w:rPr>
          <w:rFonts w:ascii="Times New Roman CYR" w:hAnsi="Times New Roman CYR" w:cs="Times New Roman CYR"/>
          <w:sz w:val="28"/>
          <w:szCs w:val="28"/>
        </w:rPr>
        <w:t xml:space="preserve"> (3.2)</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3.3 Расчетные данные для нахождения параметров линейной модели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7"/>
        <w:gridCol w:w="1036"/>
        <w:gridCol w:w="851"/>
        <w:gridCol w:w="992"/>
        <w:gridCol w:w="1378"/>
        <w:gridCol w:w="1481"/>
        <w:gridCol w:w="1275"/>
      </w:tblGrid>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t-tср</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Y-Yср</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(t-tср)(Y-Yср)</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(t-tср) 2</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кв. 2010 </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-8411</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29438,5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2010</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10823</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-8619</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21547,5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2010</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9087</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-10355</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15532,5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2010</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13584</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-5858</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2929</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2011</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28048</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8606</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4303</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2011</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32051</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12609</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48076,5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2011</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26051</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6609</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16522,5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2011</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24861</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5419</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18966,5</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155536</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157313</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0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85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19442</w:t>
            </w:r>
          </w:p>
        </w:tc>
        <w:tc>
          <w:tcPr>
            <w:tcW w:w="1378"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Применяя линейную модель к первым 8 значениям ряда из таблицы данных, находим значения:(0) = 2587,03;(0) = 157313/42 = 3745,55.</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Построим график и покажем линию тренда (рис. 3.1).</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4953000" cy="2794000"/>
            <wp:effectExtent l="0" t="0" r="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3000" cy="2794000"/>
                    </a:xfrm>
                    <a:prstGeom prst="rect">
                      <a:avLst/>
                    </a:prstGeom>
                    <a:noFill/>
                    <a:ln>
                      <a:noFill/>
                    </a:ln>
                  </pic:spPr>
                </pic:pic>
              </a:graphicData>
            </a:graphic>
          </wp:inline>
        </w:drawing>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Рис.3.1 - Фактические показатели дебиторской задолженности за период 2010-2012 гг. и линия тренда</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Уравнение имеет вид:</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(t)=2587,03+3745,55*t. (3.3)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Величина коэффициента детерминации служит важным критерием оценки качества линейных и нелинейных моделей. Чем значительнее доля объясненной вариации, тем меньше роль прочих факторов, и значит, модель регрессии хорошо аппроксимирует исходные данные и такой регрессионной моделью можно воспользоваться для прогноза значений результативного показателя. Коэффициент детерминации для данной модели R2=0,07, следовательно, построенная линейная модель недостаточно аппроксимирует экономические данные, что является предпосылкой для построения модели, которая будет учитывать сезонность показателей.</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для анализа и прогнозирования значений дебиторской задолженности построим адаптивную мультипликативную модель Хольта-Уинтерса с учетом сезонного фактора, приняв параметры сглаживания </w:t>
      </w:r>
      <w:r w:rsidR="003A549E">
        <w:rPr>
          <w:rFonts w:ascii="Microsoft Sans Serif" w:hAnsi="Microsoft Sans Serif" w:cs="Microsoft Sans Serif"/>
          <w:noProof/>
          <w:sz w:val="17"/>
          <w:szCs w:val="17"/>
        </w:rPr>
        <w:drawing>
          <wp:inline distT="0" distB="0" distL="0" distR="0">
            <wp:extent cx="194945" cy="245745"/>
            <wp:effectExtent l="0" t="0" r="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945" cy="245745"/>
                    </a:xfrm>
                    <a:prstGeom prst="rect">
                      <a:avLst/>
                    </a:prstGeom>
                    <a:noFill/>
                    <a:ln>
                      <a:noFill/>
                    </a:ln>
                  </pic:spPr>
                </pic:pic>
              </a:graphicData>
            </a:graphic>
          </wp:inline>
        </w:drawing>
      </w:r>
      <w:r>
        <w:rPr>
          <w:rFonts w:ascii="Times New Roman CYR" w:hAnsi="Times New Roman CYR" w:cs="Times New Roman CYR"/>
          <w:sz w:val="28"/>
          <w:szCs w:val="28"/>
        </w:rPr>
        <w:t xml:space="preserve">=0,3, </w:t>
      </w:r>
      <w:r w:rsidR="003A549E">
        <w:rPr>
          <w:rFonts w:ascii="Microsoft Sans Serif" w:hAnsi="Microsoft Sans Serif" w:cs="Microsoft Sans Serif"/>
          <w:noProof/>
          <w:sz w:val="17"/>
          <w:szCs w:val="17"/>
        </w:rPr>
        <w:drawing>
          <wp:inline distT="0" distB="0" distL="0" distR="0">
            <wp:extent cx="194945" cy="245745"/>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4945" cy="245745"/>
                    </a:xfrm>
                    <a:prstGeom prst="rect">
                      <a:avLst/>
                    </a:prstGeom>
                    <a:noFill/>
                    <a:ln>
                      <a:noFill/>
                    </a:ln>
                  </pic:spPr>
                </pic:pic>
              </a:graphicData>
            </a:graphic>
          </wp:inline>
        </w:drawing>
      </w:r>
      <w:r>
        <w:rPr>
          <w:rFonts w:ascii="Times New Roman CYR" w:hAnsi="Times New Roman CYR" w:cs="Times New Roman CYR"/>
          <w:sz w:val="28"/>
          <w:szCs w:val="28"/>
        </w:rPr>
        <w:t xml:space="preserve">=0,6, </w:t>
      </w:r>
      <w:r w:rsidR="003A549E">
        <w:rPr>
          <w:rFonts w:ascii="Microsoft Sans Serif" w:hAnsi="Microsoft Sans Serif" w:cs="Microsoft Sans Serif"/>
          <w:noProof/>
          <w:sz w:val="17"/>
          <w:szCs w:val="17"/>
        </w:rPr>
        <w:drawing>
          <wp:inline distT="0" distB="0" distL="0" distR="0">
            <wp:extent cx="194945" cy="245745"/>
            <wp:effectExtent l="0" t="0" r="0" b="19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4945" cy="245745"/>
                    </a:xfrm>
                    <a:prstGeom prst="rect">
                      <a:avLst/>
                    </a:prstGeom>
                    <a:noFill/>
                    <a:ln>
                      <a:noFill/>
                    </a:ln>
                  </pic:spPr>
                </pic:pic>
              </a:graphicData>
            </a:graphic>
          </wp:inline>
        </w:drawing>
      </w:r>
      <w:r>
        <w:rPr>
          <w:rFonts w:ascii="Times New Roman CYR" w:hAnsi="Times New Roman CYR" w:cs="Times New Roman CYR"/>
          <w:sz w:val="28"/>
          <w:szCs w:val="28"/>
        </w:rPr>
        <w:t>=0,3, оценим точность построенной модели с использованием средней относительной ошибки аппроксимации, построим точечный прогноз на 4 шага вперед, т.е. на 1 год.</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Мультипликативная модель Хольта-Уинтерса с линейным ростом имеет следующий вид:</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Y</w:t>
      </w:r>
      <w:r>
        <w:rPr>
          <w:rFonts w:ascii="Times New Roman CYR" w:hAnsi="Times New Roman CYR" w:cs="Times New Roman CYR"/>
          <w:sz w:val="28"/>
          <w:szCs w:val="28"/>
        </w:rPr>
        <w:t>р</w:t>
      </w:r>
      <w:r>
        <w:rPr>
          <w:rFonts w:ascii="Times New Roman CYR" w:hAnsi="Times New Roman CYR" w:cs="Times New Roman CYR"/>
          <w:sz w:val="28"/>
          <w:szCs w:val="28"/>
          <w:lang w:val="en-US"/>
        </w:rPr>
        <w:t>(t+k) = [a(t)+k*b(t)]*F(t+k-L), (3.4)</w:t>
      </w:r>
    </w:p>
    <w:p w:rsidR="001E3379" w:rsidRPr="003A549E"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k- период упреждения;р(t)- расчетное значение экономического </w:t>
      </w:r>
      <w:r>
        <w:rPr>
          <w:rFonts w:ascii="Times New Roman CYR" w:hAnsi="Times New Roman CYR" w:cs="Times New Roman CYR"/>
          <w:sz w:val="28"/>
          <w:szCs w:val="28"/>
        </w:rPr>
        <w:lastRenderedPageBreak/>
        <w:t>показателя для t-го периода;(t), b(t), F(t) - коэффициенты модели, они адаптируются, уточняются по мере перехода от членов ряда с номером t-1 к t;(t+k-L) - значение коэффициента сезонности того периода, для которого рассчитывается экономический показатель;период сезонности (для квартальных данных=4).</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Уточнение коэффициентов модели производится с помощью формул:</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a(t)=</w:t>
      </w:r>
      <w:r>
        <w:rPr>
          <w:rFonts w:ascii="Times New Roman" w:hAnsi="Times New Roman" w:cs="Times New Roman"/>
          <w:sz w:val="28"/>
          <w:szCs w:val="28"/>
        </w:rPr>
        <w:t>α</w:t>
      </w:r>
      <w:r>
        <w:rPr>
          <w:rFonts w:ascii="Times New Roman CYR" w:hAnsi="Times New Roman CYR" w:cs="Times New Roman CYR"/>
          <w:sz w:val="28"/>
          <w:szCs w:val="28"/>
          <w:lang w:val="en-US"/>
        </w:rPr>
        <w:t>1*Y(t)/F(t-L)+(1-</w:t>
      </w:r>
      <w:r>
        <w:rPr>
          <w:rFonts w:ascii="Times New Roman" w:hAnsi="Times New Roman" w:cs="Times New Roman"/>
          <w:sz w:val="28"/>
          <w:szCs w:val="28"/>
        </w:rPr>
        <w:t>α</w:t>
      </w:r>
      <w:r>
        <w:rPr>
          <w:rFonts w:ascii="Times New Roman CYR" w:hAnsi="Times New Roman CYR" w:cs="Times New Roman CYR"/>
          <w:sz w:val="28"/>
          <w:szCs w:val="28"/>
          <w:lang w:val="en-US"/>
        </w:rPr>
        <w:t>1)*[a(t-1)+b(t-1)] (3.5)(t)=</w:t>
      </w:r>
      <w:r>
        <w:rPr>
          <w:rFonts w:ascii="Times New Roman" w:hAnsi="Times New Roman" w:cs="Times New Roman"/>
          <w:sz w:val="28"/>
          <w:szCs w:val="28"/>
        </w:rPr>
        <w:t>α</w:t>
      </w:r>
      <w:r>
        <w:rPr>
          <w:rFonts w:ascii="Times New Roman CYR" w:hAnsi="Times New Roman CYR" w:cs="Times New Roman CYR"/>
          <w:sz w:val="28"/>
          <w:szCs w:val="28"/>
          <w:lang w:val="en-US"/>
        </w:rPr>
        <w:t xml:space="preserve">3*[a(t)-a(t-1)]+(1- </w:t>
      </w:r>
      <w:r>
        <w:rPr>
          <w:rFonts w:ascii="Times New Roman" w:hAnsi="Times New Roman" w:cs="Times New Roman"/>
          <w:sz w:val="28"/>
          <w:szCs w:val="28"/>
        </w:rPr>
        <w:t>α</w:t>
      </w:r>
      <w:r>
        <w:rPr>
          <w:rFonts w:ascii="Times New Roman CYR" w:hAnsi="Times New Roman CYR" w:cs="Times New Roman CYR"/>
          <w:sz w:val="28"/>
          <w:szCs w:val="28"/>
          <w:lang w:val="en-US"/>
        </w:rPr>
        <w:t>3)*b(t-1) (3.6)(t)=</w:t>
      </w:r>
      <w:r>
        <w:rPr>
          <w:rFonts w:ascii="Times New Roman" w:hAnsi="Times New Roman" w:cs="Times New Roman"/>
          <w:sz w:val="28"/>
          <w:szCs w:val="28"/>
        </w:rPr>
        <w:t>α</w:t>
      </w:r>
      <w:r>
        <w:rPr>
          <w:rFonts w:ascii="Times New Roman CYR" w:hAnsi="Times New Roman CYR" w:cs="Times New Roman CYR"/>
          <w:sz w:val="28"/>
          <w:szCs w:val="28"/>
          <w:lang w:val="en-US"/>
        </w:rPr>
        <w:t>2*Y(t)/a(t)+(1-</w:t>
      </w:r>
      <w:r>
        <w:rPr>
          <w:rFonts w:ascii="Times New Roman" w:hAnsi="Times New Roman" w:cs="Times New Roman"/>
          <w:sz w:val="28"/>
          <w:szCs w:val="28"/>
        </w:rPr>
        <w:t>α</w:t>
      </w:r>
      <w:r>
        <w:rPr>
          <w:rFonts w:ascii="Times New Roman CYR" w:hAnsi="Times New Roman CYR" w:cs="Times New Roman CYR"/>
          <w:sz w:val="28"/>
          <w:szCs w:val="28"/>
          <w:lang w:val="en-US"/>
        </w:rPr>
        <w:t>2)*F(t-L) (3.7)</w:t>
      </w:r>
    </w:p>
    <w:p w:rsidR="001E3379" w:rsidRPr="003A549E"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Убедимся, что данные обладают свойством сезонности, для этого построим график Y(t) по кварталам и проанализируем его (рис. 3.2).</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графика видны строго периодические циклические колебания, которые совершаются в течение 3-х лет, что подтверждает сезонность Y(t).</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5062855" cy="2726055"/>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62855" cy="2726055"/>
                    </a:xfrm>
                    <a:prstGeom prst="rect">
                      <a:avLst/>
                    </a:prstGeom>
                    <a:noFill/>
                    <a:ln>
                      <a:noFill/>
                    </a:ln>
                  </pic:spPr>
                </pic:pic>
              </a:graphicData>
            </a:graphic>
          </wp:inline>
        </w:drawing>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Рис.3.2 - Фактические данные дебиторской задолженности за период 2010 - 2012 гг.</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уравнения (3.3) найдем расчетные значения Yр(t) и сопоставим с фактическими (таблица 3.4.)</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3.4 Сопоставления расчетных и фактических значений дебиторской задолженности (в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992"/>
        <w:gridCol w:w="992"/>
        <w:gridCol w:w="993"/>
        <w:gridCol w:w="992"/>
        <w:gridCol w:w="1087"/>
        <w:gridCol w:w="1087"/>
        <w:gridCol w:w="1087"/>
        <w:gridCol w:w="1087"/>
      </w:tblGrid>
      <w:tr w:rsidR="001E3379">
        <w:trPr>
          <w:jc w:val="center"/>
        </w:trPr>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Квартал</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2010</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2010</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4кв 2010</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2011</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2011</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2011</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2011</w:t>
            </w:r>
          </w:p>
        </w:tc>
      </w:tr>
      <w:tr w:rsidR="001E3379">
        <w:trPr>
          <w:jc w:val="center"/>
        </w:trPr>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E3379">
        <w:trPr>
          <w:jc w:val="center"/>
        </w:trPr>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9087</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13584</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28048</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32051</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26051</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24861</w:t>
            </w:r>
          </w:p>
        </w:tc>
      </w:tr>
      <w:tr w:rsidR="001E3379">
        <w:trPr>
          <w:jc w:val="center"/>
        </w:trPr>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Yр(t)</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6332,58</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10078,13</w:t>
            </w:r>
          </w:p>
        </w:tc>
        <w:tc>
          <w:tcPr>
            <w:tcW w:w="99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13823,68</w:t>
            </w:r>
          </w:p>
        </w:tc>
        <w:tc>
          <w:tcPr>
            <w:tcW w:w="99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17569,23</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21314,78</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25060,33</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28805,88</w:t>
            </w:r>
          </w:p>
        </w:tc>
        <w:tc>
          <w:tcPr>
            <w:tcW w:w="10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32551,43</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сезонности есть отношение фактического значения экономического показателя к значению, рассчитанному по линейной модели.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коэффициенты сезонности: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(-3)=[Y(1)/Yр(1)+Y(5)/Yр(5)]/2=[11031/6332,58+28048/21314,78]/2=3,06(-2)=[Y(2)/Yр(2)+Y(6)/Yр(6)]/2 =2,35(-1)=[Y(3)/Yр(3)+Y(7)/Yр(7)]/2 =1,56(0)=[Y(4)/Yр(4)+Y(8)/Yр(8)]/2 =1,53</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 значения a(0), b(0), а также F(-3), F(-2), F(-1) и F(0), можно перейти к построению адаптивной мультипликативной модели Хольта-Уинтерса с помощью формул 3.4-3.7.</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Рассчитаем значения Yp(t), a(t), b(t), F(t) для t=1,2,3…12.(табл.3.4)</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Y</w:t>
      </w:r>
      <w:r>
        <w:rPr>
          <w:rFonts w:ascii="Times New Roman CYR" w:hAnsi="Times New Roman CYR" w:cs="Times New Roman CYR"/>
          <w:sz w:val="28"/>
          <w:szCs w:val="28"/>
        </w:rPr>
        <w:t>р</w:t>
      </w:r>
      <w:r>
        <w:rPr>
          <w:rFonts w:ascii="Times New Roman CYR" w:hAnsi="Times New Roman CYR" w:cs="Times New Roman CYR"/>
          <w:sz w:val="28"/>
          <w:szCs w:val="28"/>
          <w:lang w:val="en-US"/>
        </w:rPr>
        <w:t>(0+1)=Y</w:t>
      </w:r>
      <w:r>
        <w:rPr>
          <w:rFonts w:ascii="Times New Roman CYR" w:hAnsi="Times New Roman CYR" w:cs="Times New Roman CYR"/>
          <w:sz w:val="28"/>
          <w:szCs w:val="28"/>
        </w:rPr>
        <w:t>р</w:t>
      </w:r>
      <w:r>
        <w:rPr>
          <w:rFonts w:ascii="Times New Roman CYR" w:hAnsi="Times New Roman CYR" w:cs="Times New Roman CYR"/>
          <w:sz w:val="28"/>
          <w:szCs w:val="28"/>
          <w:lang w:val="en-US"/>
        </w:rPr>
        <w:t>(1)= [a(0)+1*b(0)]*F(0+1-4)= [a(0)+1*b(0)]*F(-3)= [2587,03 +1* *3745,55]*3,06=19377,69(1)=</w:t>
      </w:r>
      <w:r>
        <w:rPr>
          <w:rFonts w:ascii="Times New Roman" w:hAnsi="Times New Roman" w:cs="Times New Roman"/>
          <w:sz w:val="28"/>
          <w:szCs w:val="28"/>
        </w:rPr>
        <w:t>α</w:t>
      </w:r>
      <w:r>
        <w:rPr>
          <w:rFonts w:ascii="Times New Roman CYR" w:hAnsi="Times New Roman CYR" w:cs="Times New Roman CYR"/>
          <w:sz w:val="28"/>
          <w:szCs w:val="28"/>
          <w:lang w:val="en-US"/>
        </w:rPr>
        <w:t>1*Y(1)/F(-3)+(1-</w:t>
      </w:r>
      <w:r>
        <w:rPr>
          <w:rFonts w:ascii="Times New Roman" w:hAnsi="Times New Roman" w:cs="Times New Roman"/>
          <w:sz w:val="28"/>
          <w:szCs w:val="28"/>
        </w:rPr>
        <w:t>α</w:t>
      </w:r>
      <w:r>
        <w:rPr>
          <w:rFonts w:ascii="Times New Roman CYR" w:hAnsi="Times New Roman CYR" w:cs="Times New Roman CYR"/>
          <w:sz w:val="28"/>
          <w:szCs w:val="28"/>
          <w:lang w:val="en-US"/>
        </w:rPr>
        <w:t xml:space="preserve">1)*[a(0)+b(0)]= 0,3*11031/3,06 + (1-0,3) </w:t>
      </w:r>
      <w:r>
        <w:rPr>
          <w:rFonts w:ascii="Times New Roman" w:hAnsi="Times New Roman" w:cs="Times New Roman"/>
          <w:sz w:val="28"/>
          <w:szCs w:val="28"/>
          <w:lang w:val="en-US"/>
        </w:rPr>
        <w:t>×</w:t>
      </w:r>
      <w:r>
        <w:rPr>
          <w:rFonts w:ascii="Times New Roman CYR" w:hAnsi="Times New Roman CYR" w:cs="Times New Roman CYR"/>
          <w:sz w:val="28"/>
          <w:szCs w:val="28"/>
          <w:lang w:val="en-US"/>
        </w:rPr>
        <w:t>[2587,03 +3745,55] = 5514,27(1)=</w:t>
      </w:r>
      <w:r>
        <w:rPr>
          <w:rFonts w:ascii="Times New Roman" w:hAnsi="Times New Roman" w:cs="Times New Roman"/>
          <w:sz w:val="28"/>
          <w:szCs w:val="28"/>
        </w:rPr>
        <w:t>α</w:t>
      </w:r>
      <w:r>
        <w:rPr>
          <w:rFonts w:ascii="Times New Roman CYR" w:hAnsi="Times New Roman CYR" w:cs="Times New Roman CYR"/>
          <w:sz w:val="28"/>
          <w:szCs w:val="28"/>
          <w:lang w:val="en-US"/>
        </w:rPr>
        <w:t xml:space="preserve">3*[a(1)-a(0)]+(1- </w:t>
      </w:r>
      <w:r>
        <w:rPr>
          <w:rFonts w:ascii="Times New Roman" w:hAnsi="Times New Roman" w:cs="Times New Roman"/>
          <w:sz w:val="28"/>
          <w:szCs w:val="28"/>
        </w:rPr>
        <w:t>α</w:t>
      </w:r>
      <w:r>
        <w:rPr>
          <w:rFonts w:ascii="Times New Roman CYR" w:hAnsi="Times New Roman CYR" w:cs="Times New Roman CYR"/>
          <w:sz w:val="28"/>
          <w:szCs w:val="28"/>
          <w:lang w:val="en-US"/>
        </w:rPr>
        <w:t>3)*b(0)= 0,3*[5514,27-2587,03]+(1-0,3)*3745, 55 = 7,54(1)=</w:t>
      </w:r>
      <w:r>
        <w:rPr>
          <w:rFonts w:ascii="Times New Roman" w:hAnsi="Times New Roman" w:cs="Times New Roman"/>
          <w:sz w:val="28"/>
          <w:szCs w:val="28"/>
        </w:rPr>
        <w:t>α</w:t>
      </w:r>
      <w:r>
        <w:rPr>
          <w:rFonts w:ascii="Times New Roman CYR" w:hAnsi="Times New Roman CYR" w:cs="Times New Roman CYR"/>
          <w:sz w:val="28"/>
          <w:szCs w:val="28"/>
          <w:lang w:val="en-US"/>
        </w:rPr>
        <w:t>2*Y(1)/a(1)+(1-</w:t>
      </w:r>
      <w:r>
        <w:rPr>
          <w:rFonts w:ascii="Times New Roman" w:hAnsi="Times New Roman" w:cs="Times New Roman"/>
          <w:sz w:val="28"/>
          <w:szCs w:val="28"/>
        </w:rPr>
        <w:t>α</w:t>
      </w:r>
      <w:r>
        <w:rPr>
          <w:rFonts w:ascii="Times New Roman CYR" w:hAnsi="Times New Roman CYR" w:cs="Times New Roman CYR"/>
          <w:sz w:val="28"/>
          <w:szCs w:val="28"/>
          <w:lang w:val="en-US"/>
        </w:rPr>
        <w:t>2)*F(-3)= 0,6*11031/5514,27 + (1-0,6)*3,06=2,42</w:t>
      </w:r>
    </w:p>
    <w:p w:rsidR="001E3379" w:rsidRPr="003A549E"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3.5 Расчетные значения Yp(t), a(t), b(t), F(t) для построения модели Хольта - Уинтерса</w:t>
      </w:r>
    </w:p>
    <w:tbl>
      <w:tblPr>
        <w:tblW w:w="0" w:type="auto"/>
        <w:jc w:val="center"/>
        <w:tblLayout w:type="fixed"/>
        <w:tblLook w:val="0000" w:firstRow="0" w:lastRow="0" w:firstColumn="0" w:lastColumn="0" w:noHBand="0" w:noVBand="0"/>
      </w:tblPr>
      <w:tblGrid>
        <w:gridCol w:w="572"/>
        <w:gridCol w:w="962"/>
        <w:gridCol w:w="1378"/>
        <w:gridCol w:w="1170"/>
        <w:gridCol w:w="1170"/>
        <w:gridCol w:w="818"/>
        <w:gridCol w:w="1522"/>
        <w:gridCol w:w="1171"/>
      </w:tblGrid>
      <w:tr w:rsidR="001E3379">
        <w:trPr>
          <w:jc w:val="center"/>
        </w:trPr>
        <w:tc>
          <w:tcPr>
            <w:tcW w:w="572"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w:t>
            </w:r>
          </w:p>
        </w:tc>
        <w:tc>
          <w:tcPr>
            <w:tcW w:w="962"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w:t>
            </w:r>
          </w:p>
        </w:tc>
        <w:tc>
          <w:tcPr>
            <w:tcW w:w="1378"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Yр(t)</w:t>
            </w:r>
          </w:p>
        </w:tc>
        <w:tc>
          <w:tcPr>
            <w:tcW w:w="1170"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a(t)</w:t>
            </w:r>
          </w:p>
        </w:tc>
        <w:tc>
          <w:tcPr>
            <w:tcW w:w="1170"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b(t)</w:t>
            </w:r>
          </w:p>
        </w:tc>
        <w:tc>
          <w:tcPr>
            <w:tcW w:w="818"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F(t)</w:t>
            </w:r>
          </w:p>
        </w:tc>
        <w:tc>
          <w:tcPr>
            <w:tcW w:w="1522"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E(t)</w:t>
            </w:r>
          </w:p>
        </w:tc>
        <w:tc>
          <w:tcPr>
            <w:tcW w:w="1171"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E(t)отн,%</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19377,69</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5514,27</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3500,05</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-8346,69</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-75,66</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30839,07</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5814,46</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3587,11</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-20016,07</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-184,94</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9087</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42300,46</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6180,31</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3699,87</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-33213,46</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-365,51</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13584</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53761,84</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7096,34</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3974,68</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-40177,84</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-295,77</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28048</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65223,23</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7182,61</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3997,56</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-37175,23</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-132,54</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32051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76684,61</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8524,42</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4403,1</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-44633,61</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-139,26</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88145,99</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9442,61</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4678,56</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-62094,99</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99607,37</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9307,51</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4638,03</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-74746,37</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-300,56</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24050</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111068,76</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6790,65</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3882,97</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-87018,76</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-361,82</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18081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122530,14</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6741,02</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3868,08</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-104449,14</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-577,67</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41081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133991,52</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12333,0</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5545,68</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-92910,52</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-226,16</w:t>
            </w:r>
          </w:p>
        </w:tc>
      </w:tr>
      <w:tr w:rsidR="001E3379">
        <w:trPr>
          <w:jc w:val="center"/>
        </w:trPr>
        <w:tc>
          <w:tcPr>
            <w:tcW w:w="572"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6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13040</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145452,91</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6989,67</w:t>
            </w:r>
          </w:p>
        </w:tc>
        <w:tc>
          <w:tcPr>
            <w:tcW w:w="1170"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3942,68</w:t>
            </w:r>
          </w:p>
        </w:tc>
        <w:tc>
          <w:tcPr>
            <w:tcW w:w="81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522"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-132412,91</w:t>
            </w:r>
          </w:p>
        </w:tc>
        <w:tc>
          <w:tcPr>
            <w:tcW w:w="1171"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-1015,44</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Проверим качество модели по критериям адекватности и точности.</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модель была качественной, уровни остаточного E(t) (разности Y(t)-Yр(t) между фактическими и расчетными значениями экономического показателя) должны удовлетворять определенным условиям.</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Условие точности можно считать выполненным, так как суммарное значение относительных погрешностей составляет 3913,43, что дает среднюю величину 3913,43/12=326,12%, что не превышает 500%.</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Оценим адекватность построенной модели на основе исследований.</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Случайности остаточности компоненты по критерию пиков</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Проверку случайности уровней остаточной компоненты проводим на основе критерия поворотных точек. Для этого каждый уровень ряда E(t) сравниваем с двумя соседними. Если он больше (или меньше) обоих соседних уровней, то точка считается поворотной и для этой строки ставится 1, в противном случае ставится 0 (таблица 3.6). В первой и последней строке ставится прочерк, т.к. у этого уровня нет двух соседних уровней.</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3.6 Расчет ряда остатков и обозначение точек поворота модели Хольта-Уинтерса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1249"/>
        <w:gridCol w:w="1587"/>
        <w:gridCol w:w="1585"/>
        <w:gridCol w:w="1581"/>
        <w:gridCol w:w="1706"/>
      </w:tblGrid>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Yр(t)</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E(t)</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Точки поворота</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E(t)2</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19377,69</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-8346,69</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69667233,95</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10823</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30839,07</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-20016,07</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400643058,2</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9087</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42300,46</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-33213,46</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1103133925,17</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13584</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53761,84</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-40177,84</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1614258827,07</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28048</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65223,23</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-37175,23</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1381997725,55</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32051</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76684,61</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-44633,61</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1992159141,63</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26051</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88145,99</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-62094,99</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3855787783,10</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24861</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99607,37</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-74746,37</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5587019828,18</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24050</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111068,76</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-87018,76</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7572264591,94</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18081</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122530,14</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-104449,14</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10909622846,74</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41081</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133991,52</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-92910,52</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8632364726,67</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13040</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145452,91</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-132412,91</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17533178734,67</w:t>
            </w:r>
          </w:p>
        </w:tc>
      </w:tr>
      <w:tr w:rsidR="001E3379">
        <w:trPr>
          <w:jc w:val="center"/>
        </w:trPr>
        <w:tc>
          <w:tcPr>
            <w:tcW w:w="9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4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8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8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70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261655443461,34</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нашем случае общее количество поворотных точек равно p=6.</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значение q:</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q=int [2*(n-2)/3-2*</w:t>
      </w:r>
      <w:r w:rsidR="003A549E">
        <w:rPr>
          <w:rFonts w:ascii="Microsoft Sans Serif" w:hAnsi="Microsoft Sans Serif" w:cs="Microsoft Sans Serif"/>
          <w:noProof/>
          <w:sz w:val="17"/>
          <w:szCs w:val="17"/>
        </w:rPr>
        <w:drawing>
          <wp:inline distT="0" distB="0" distL="0" distR="0">
            <wp:extent cx="1346200" cy="160655"/>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6200" cy="160655"/>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1346200" cy="160655"/>
            <wp:effectExtent l="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6200" cy="160655"/>
                    </a:xfrm>
                    <a:prstGeom prst="rect">
                      <a:avLst/>
                    </a:prstGeom>
                    <a:noFill/>
                    <a:ln>
                      <a:noFill/>
                    </a:ln>
                  </pic:spPr>
                </pic:pic>
              </a:graphicData>
            </a:graphic>
          </wp:inline>
        </w:drawing>
      </w:r>
      <w:r>
        <w:rPr>
          <w:rFonts w:ascii="Times New Roman CYR" w:hAnsi="Times New Roman CYR" w:cs="Times New Roman CYR"/>
          <w:sz w:val="28"/>
          <w:szCs w:val="28"/>
        </w:rPr>
        <w:t>. (3.8)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Функция int означает, что от полученного значения берется только целое часть.</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int (2*(12-2)/3-2*</w:t>
      </w:r>
      <w:r w:rsidR="003A549E">
        <w:rPr>
          <w:rFonts w:ascii="Microsoft Sans Serif" w:hAnsi="Microsoft Sans Serif" w:cs="Microsoft Sans Serif"/>
          <w:noProof/>
          <w:sz w:val="17"/>
          <w:szCs w:val="17"/>
        </w:rPr>
        <w:drawing>
          <wp:inline distT="0" distB="0" distL="0" distR="0">
            <wp:extent cx="1414145" cy="1606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4145" cy="160655"/>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1414145" cy="1606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4145" cy="160655"/>
                    </a:xfrm>
                    <a:prstGeom prst="rect">
                      <a:avLst/>
                    </a:prstGeom>
                    <a:noFill/>
                    <a:ln>
                      <a:noFill/>
                    </a:ln>
                  </pic:spPr>
                </pic:pic>
              </a:graphicData>
            </a:graphic>
          </wp:inline>
        </w:drawing>
      </w:r>
      <w:r>
        <w:rPr>
          <w:rFonts w:ascii="Times New Roman CYR" w:hAnsi="Times New Roman CYR" w:cs="Times New Roman CYR"/>
          <w:sz w:val="28"/>
          <w:szCs w:val="28"/>
        </w:rPr>
        <w:t>=3.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как количество поворотных точек p больше q (p=6, q=3), то условие случайности уровней ряда остатков выполнено.</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Нормальности распределения остаточной компоненты по R/S-критерию с критическими значениями от 2 до 4,21.</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значение R/S:</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Pr="003A549E"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sidRPr="003A549E">
        <w:rPr>
          <w:rFonts w:ascii="Times New Roman CYR" w:hAnsi="Times New Roman CYR" w:cs="Times New Roman CYR"/>
          <w:sz w:val="28"/>
          <w:szCs w:val="28"/>
        </w:rPr>
        <w:t>/</w:t>
      </w:r>
      <w:r>
        <w:rPr>
          <w:rFonts w:ascii="Times New Roman CYR" w:hAnsi="Times New Roman CYR" w:cs="Times New Roman CYR"/>
          <w:sz w:val="28"/>
          <w:szCs w:val="28"/>
          <w:lang w:val="en-US"/>
        </w:rPr>
        <w:t>S</w:t>
      </w:r>
      <w:r w:rsidRPr="003A549E">
        <w:rPr>
          <w:rFonts w:ascii="Times New Roman CYR" w:hAnsi="Times New Roman CYR" w:cs="Times New Roman CYR"/>
          <w:sz w:val="28"/>
          <w:szCs w:val="28"/>
        </w:rPr>
        <w:t>=(</w:t>
      </w:r>
      <w:r>
        <w:rPr>
          <w:rFonts w:ascii="Times New Roman CYR" w:hAnsi="Times New Roman CYR" w:cs="Times New Roman CYR"/>
          <w:sz w:val="28"/>
          <w:szCs w:val="28"/>
          <w:lang w:val="en-US"/>
        </w:rPr>
        <w:t>Emax</w:t>
      </w:r>
      <w:r w:rsidRPr="003A549E">
        <w:rPr>
          <w:rFonts w:ascii="Times New Roman CYR" w:hAnsi="Times New Roman CYR" w:cs="Times New Roman CYR"/>
          <w:sz w:val="28"/>
          <w:szCs w:val="28"/>
        </w:rPr>
        <w:t>-</w:t>
      </w:r>
      <w:r>
        <w:rPr>
          <w:rFonts w:ascii="Times New Roman CYR" w:hAnsi="Times New Roman CYR" w:cs="Times New Roman CYR"/>
          <w:sz w:val="28"/>
          <w:szCs w:val="28"/>
          <w:lang w:val="en-US"/>
        </w:rPr>
        <w:t>Emin</w:t>
      </w:r>
      <w:r w:rsidRPr="003A549E">
        <w:rPr>
          <w:rFonts w:ascii="Times New Roman CYR" w:hAnsi="Times New Roman CYR" w:cs="Times New Roman CYR"/>
          <w:sz w:val="28"/>
          <w:szCs w:val="28"/>
        </w:rPr>
        <w:t>)/</w:t>
      </w:r>
      <w:r>
        <w:rPr>
          <w:rFonts w:ascii="Times New Roman CYR" w:hAnsi="Times New Roman CYR" w:cs="Times New Roman CYR"/>
          <w:sz w:val="28"/>
          <w:szCs w:val="28"/>
          <w:lang w:val="en-US"/>
        </w:rPr>
        <w:t>S</w:t>
      </w:r>
      <w:r w:rsidRPr="003A549E">
        <w:rPr>
          <w:rFonts w:ascii="Times New Roman CYR" w:hAnsi="Times New Roman CYR" w:cs="Times New Roman CYR"/>
          <w:sz w:val="28"/>
          <w:szCs w:val="28"/>
        </w:rPr>
        <w:t>, (3.9)</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Emax- максимальное значение уровней ряда остатков E(t),минимальное значение уровней ряда остатков E(t),среднее квадратическое отклонение.=-8346,69; Emin= -132412,91; Emax-Emin= -124066,22.</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3A549E">
        <w:rPr>
          <w:rFonts w:ascii="Microsoft Sans Serif" w:hAnsi="Microsoft Sans Serif" w:cs="Microsoft Sans Serif"/>
          <w:noProof/>
          <w:sz w:val="17"/>
          <w:szCs w:val="17"/>
        </w:rPr>
        <w:drawing>
          <wp:inline distT="0" distB="0" distL="0" distR="0">
            <wp:extent cx="728345" cy="44005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8345" cy="440055"/>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728345" cy="4400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8345" cy="440055"/>
                    </a:xfrm>
                    <a:prstGeom prst="rect">
                      <a:avLst/>
                    </a:prstGeom>
                    <a:noFill/>
                    <a:ln>
                      <a:noFill/>
                    </a:ln>
                  </pic:spPr>
                </pic:pic>
              </a:graphicData>
            </a:graphic>
          </wp:inline>
        </w:drawing>
      </w:r>
      <w:r>
        <w:rPr>
          <w:rFonts w:ascii="Times New Roman CYR" w:hAnsi="Times New Roman CYR" w:cs="Times New Roman CYR"/>
          <w:sz w:val="28"/>
          <w:szCs w:val="28"/>
        </w:rPr>
        <w:t>=</w:t>
      </w:r>
      <w:r w:rsidR="003A549E">
        <w:rPr>
          <w:rFonts w:ascii="Microsoft Sans Serif" w:hAnsi="Microsoft Sans Serif" w:cs="Microsoft Sans Serif"/>
          <w:noProof/>
          <w:sz w:val="17"/>
          <w:szCs w:val="17"/>
        </w:rPr>
        <w:drawing>
          <wp:inline distT="0" distB="0" distL="0" distR="0">
            <wp:extent cx="1591945" cy="440055"/>
            <wp:effectExtent l="0" t="0" r="825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1945" cy="440055"/>
                    </a:xfrm>
                    <a:prstGeom prst="rect">
                      <a:avLst/>
                    </a:prstGeom>
                    <a:noFill/>
                    <a:ln>
                      <a:noFill/>
                    </a:ln>
                  </pic:spPr>
                </pic:pic>
              </a:graphicData>
            </a:graphic>
          </wp:inline>
        </w:drawing>
      </w:r>
      <w:r w:rsidR="003A549E">
        <w:rPr>
          <w:rFonts w:ascii="Microsoft Sans Serif" w:hAnsi="Microsoft Sans Serif" w:cs="Microsoft Sans Serif"/>
          <w:noProof/>
          <w:sz w:val="17"/>
          <w:szCs w:val="17"/>
        </w:rPr>
        <w:drawing>
          <wp:inline distT="0" distB="0" distL="0" distR="0">
            <wp:extent cx="1591945" cy="440055"/>
            <wp:effectExtent l="0" t="0" r="825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1945" cy="440055"/>
                    </a:xfrm>
                    <a:prstGeom prst="rect">
                      <a:avLst/>
                    </a:prstGeom>
                    <a:noFill/>
                    <a:ln>
                      <a:noFill/>
                    </a:ln>
                  </pic:spPr>
                </pic:pic>
              </a:graphicData>
            </a:graphic>
          </wp:inline>
        </w:drawing>
      </w:r>
      <w:r>
        <w:rPr>
          <w:rFonts w:ascii="Times New Roman CYR" w:hAnsi="Times New Roman CYR" w:cs="Times New Roman CYR"/>
          <w:sz w:val="28"/>
          <w:szCs w:val="28"/>
        </w:rPr>
        <w:t>=48771,77. (3.10)</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/S= -124066,22/48771,77= 2,54.</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Полученное значение R/S сравниваем с табличными значениями (от 2 до 4,21). Так как 2&lt;2,54&lt;4,21, полученное значение R/S попало в заданный интервал. Значит, уровни ряда остатков подчиняются нормальному распределению.</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Рассмотрев адекватность модели Хольта - Уинтерса по отношению к дебиторской задолженности МУП «Еланское КХ» было установлено, что все условия адекватности модели выполняются, а значит данную модель можно считать удовлетворительной и использовать ее для расчета прогнозных показателей дебиторской задолженности ( Yр(t)) на четыре квартала вперед (рис. 3.3).</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Построим точечный прогноз на четыре шага перед, т.е. на 1 год.</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Y</w:t>
      </w:r>
      <w:r>
        <w:rPr>
          <w:rFonts w:ascii="Times New Roman CYR" w:hAnsi="Times New Roman CYR" w:cs="Times New Roman CYR"/>
          <w:sz w:val="28"/>
          <w:szCs w:val="28"/>
        </w:rPr>
        <w:t>р</w:t>
      </w:r>
      <w:r>
        <w:rPr>
          <w:rFonts w:ascii="Times New Roman CYR" w:hAnsi="Times New Roman CYR" w:cs="Times New Roman CYR"/>
          <w:sz w:val="28"/>
          <w:szCs w:val="28"/>
          <w:lang w:val="en-US"/>
        </w:rPr>
        <w:t>(13) =Y</w:t>
      </w:r>
      <w:r>
        <w:rPr>
          <w:rFonts w:ascii="Times New Roman CYR" w:hAnsi="Times New Roman CYR" w:cs="Times New Roman CYR"/>
          <w:sz w:val="28"/>
          <w:szCs w:val="28"/>
        </w:rPr>
        <w:t>р</w:t>
      </w:r>
      <w:r>
        <w:rPr>
          <w:rFonts w:ascii="Times New Roman CYR" w:hAnsi="Times New Roman CYR" w:cs="Times New Roman CYR"/>
          <w:sz w:val="28"/>
          <w:szCs w:val="28"/>
          <w:lang w:val="en-US"/>
        </w:rPr>
        <w:t>(12+1) =([a(12)+2*b(12)]*F(12+1-4))/2= ([a(12)+2*b(12)]*F(9))/2 =24915,67</w:t>
      </w:r>
      <w:r>
        <w:rPr>
          <w:rFonts w:ascii="Times New Roman CYR" w:hAnsi="Times New Roman CYR" w:cs="Times New Roman CYR"/>
          <w:sz w:val="28"/>
          <w:szCs w:val="28"/>
        </w:rPr>
        <w:t>р</w:t>
      </w:r>
      <w:r>
        <w:rPr>
          <w:rFonts w:ascii="Times New Roman CYR" w:hAnsi="Times New Roman CYR" w:cs="Times New Roman CYR"/>
          <w:sz w:val="28"/>
          <w:szCs w:val="28"/>
          <w:lang w:val="en-US"/>
        </w:rPr>
        <w:t>(14)=Y</w:t>
      </w:r>
      <w:r>
        <w:rPr>
          <w:rFonts w:ascii="Times New Roman CYR" w:hAnsi="Times New Roman CYR" w:cs="Times New Roman CYR"/>
          <w:sz w:val="28"/>
          <w:szCs w:val="28"/>
        </w:rPr>
        <w:t>р</w:t>
      </w:r>
      <w:r>
        <w:rPr>
          <w:rFonts w:ascii="Times New Roman CYR" w:hAnsi="Times New Roman CYR" w:cs="Times New Roman CYR"/>
          <w:sz w:val="28"/>
          <w:szCs w:val="28"/>
          <w:lang w:val="en-US"/>
        </w:rPr>
        <w:t>(12+2)=([a(12)+3*b(12)]*F(12+2-4))/2= ([a(12)+3*b(12)]*F(10))/2</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=23992,58</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Y</w:t>
      </w:r>
      <w:r>
        <w:rPr>
          <w:rFonts w:ascii="Times New Roman CYR" w:hAnsi="Times New Roman CYR" w:cs="Times New Roman CYR"/>
          <w:sz w:val="28"/>
          <w:szCs w:val="28"/>
        </w:rPr>
        <w:t>р</w:t>
      </w:r>
      <w:r>
        <w:rPr>
          <w:rFonts w:ascii="Times New Roman CYR" w:hAnsi="Times New Roman CYR" w:cs="Times New Roman CYR"/>
          <w:sz w:val="28"/>
          <w:szCs w:val="28"/>
          <w:lang w:val="en-US"/>
        </w:rPr>
        <w:t>(15)=Y</w:t>
      </w:r>
      <w:r>
        <w:rPr>
          <w:rFonts w:ascii="Times New Roman CYR" w:hAnsi="Times New Roman CYR" w:cs="Times New Roman CYR"/>
          <w:sz w:val="28"/>
          <w:szCs w:val="28"/>
        </w:rPr>
        <w:t>р</w:t>
      </w:r>
      <w:r>
        <w:rPr>
          <w:rFonts w:ascii="Times New Roman CYR" w:hAnsi="Times New Roman CYR" w:cs="Times New Roman CYR"/>
          <w:sz w:val="28"/>
          <w:szCs w:val="28"/>
          <w:lang w:val="en-US"/>
        </w:rPr>
        <w:t>(12+3)=([a(12)+4*b(12)]*F(12+3-4))/2= [a(12)+4*b(12)]*F(11))/2 = 29816,15</w:t>
      </w:r>
      <w:r>
        <w:rPr>
          <w:rFonts w:ascii="Times New Roman CYR" w:hAnsi="Times New Roman CYR" w:cs="Times New Roman CYR"/>
          <w:sz w:val="28"/>
          <w:szCs w:val="28"/>
        </w:rPr>
        <w:t>р</w:t>
      </w:r>
      <w:r>
        <w:rPr>
          <w:rFonts w:ascii="Times New Roman CYR" w:hAnsi="Times New Roman CYR" w:cs="Times New Roman CYR"/>
          <w:sz w:val="28"/>
          <w:szCs w:val="28"/>
          <w:lang w:val="en-US"/>
        </w:rPr>
        <w:t>(16)=Y</w:t>
      </w:r>
      <w:r>
        <w:rPr>
          <w:rFonts w:ascii="Times New Roman CYR" w:hAnsi="Times New Roman CYR" w:cs="Times New Roman CYR"/>
          <w:sz w:val="28"/>
          <w:szCs w:val="28"/>
        </w:rPr>
        <w:t>р</w:t>
      </w:r>
      <w:r>
        <w:rPr>
          <w:rFonts w:ascii="Times New Roman CYR" w:hAnsi="Times New Roman CYR" w:cs="Times New Roman CYR"/>
          <w:sz w:val="28"/>
          <w:szCs w:val="28"/>
          <w:lang w:val="en-US"/>
        </w:rPr>
        <w:t>(12+4)=([a(12)+5*b(12)]*F(12+4-4))/2=( [a(12)+5*b(12)]*F(12))/2 = 23098,15</w:t>
      </w:r>
    </w:p>
    <w:p w:rsidR="001E3379" w:rsidRPr="003A549E"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Аппроксимируя данные, получили графике (рис.3.3).</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4978400" cy="320865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78400" cy="3208655"/>
                    </a:xfrm>
                    <a:prstGeom prst="rect">
                      <a:avLst/>
                    </a:prstGeom>
                    <a:noFill/>
                    <a:ln>
                      <a:noFill/>
                    </a:ln>
                  </pic:spPr>
                </pic:pic>
              </a:graphicData>
            </a:graphic>
          </wp:inline>
        </w:drawing>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Рис.3.3 - График линейной аппроксимации значений дебиторской задолженности за 2010-2013гг.</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рисунке 3.3 проводится сопоставление фактических и расчетных данных. Здесь же показаны прогнозные значения данных дебиторской задолженности на 1 год вперед. Из рисунка видно, что расчетные данные хорошо согласуются с фактическими, что говорит об удовлетворительном качестве прогноза.</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Спрогнозируем значение кредиторской задолженности на 1 квартал 2012 года, для этого применим линейное прогнозирование. Составим аппроксимирующую функцию с целью прогнозирования вида Y(t)=a+bt, где a,b-параметры, t-время. Параметры найдем наиболее распространенным методом наименьших квадратов (МНК).</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7200" cy="736600"/>
            <wp:effectExtent l="0" t="0" r="6350" b="635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7200" cy="7366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27200" cy="736600"/>
            <wp:effectExtent l="0" t="0" r="6350"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7200" cy="736600"/>
                    </a:xfrm>
                    <a:prstGeom prst="rect">
                      <a:avLst/>
                    </a:prstGeom>
                    <a:noFill/>
                    <a:ln>
                      <a:noFill/>
                    </a:ln>
                  </pic:spPr>
                </pic:pic>
              </a:graphicData>
            </a:graphic>
          </wp:inline>
        </w:drawing>
      </w:r>
      <w:r w:rsidR="00E63CBB">
        <w:rPr>
          <w:rFonts w:ascii="Times New Roman CYR" w:hAnsi="Times New Roman CYR" w:cs="Times New Roman CYR"/>
          <w:sz w:val="28"/>
          <w:szCs w:val="28"/>
        </w:rPr>
        <w:t xml:space="preserve"> (3.11)</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Рассчитаем все необходимые данные для нахождения параметров (таблица 3.6.).</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Подставим все вспомогательные данные в формулу 3.12. и найдем параметры.</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нашем случае получается: a=16836,05; b=300,99.</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Следовательно получили модель следующего вида:=16836,05+300,99/t.</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3.7 Расчетные показатели для нахождения параметров линейной регрессионной модели</w:t>
      </w:r>
    </w:p>
    <w:tbl>
      <w:tblPr>
        <w:tblW w:w="0" w:type="auto"/>
        <w:jc w:val="center"/>
        <w:tblLayout w:type="fixed"/>
        <w:tblLook w:val="0000" w:firstRow="0" w:lastRow="0" w:firstColumn="0" w:lastColumn="0" w:noHBand="0" w:noVBand="0"/>
      </w:tblPr>
      <w:tblGrid>
        <w:gridCol w:w="1377"/>
        <w:gridCol w:w="1036"/>
        <w:gridCol w:w="993"/>
        <w:gridCol w:w="1377"/>
        <w:gridCol w:w="1378"/>
        <w:gridCol w:w="1378"/>
        <w:gridCol w:w="1378"/>
      </w:tblGrid>
      <w:tr w:rsidR="001E3379">
        <w:trPr>
          <w:jc w:val="center"/>
        </w:trPr>
        <w:tc>
          <w:tcPr>
            <w:tcW w:w="137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времени</w:t>
            </w:r>
          </w:p>
        </w:tc>
        <w:tc>
          <w:tcPr>
            <w:tcW w:w="1036"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w:t>
            </w:r>
          </w:p>
        </w:tc>
        <w:tc>
          <w:tcPr>
            <w:tcW w:w="993"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t-tср</w:t>
            </w:r>
          </w:p>
        </w:tc>
        <w:tc>
          <w:tcPr>
            <w:tcW w:w="1377"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(t-tср)2</w:t>
            </w:r>
          </w:p>
        </w:tc>
        <w:tc>
          <w:tcPr>
            <w:tcW w:w="1378"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w:t>
            </w:r>
          </w:p>
        </w:tc>
        <w:tc>
          <w:tcPr>
            <w:tcW w:w="1378"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Y-Yср</w:t>
            </w:r>
          </w:p>
        </w:tc>
        <w:tc>
          <w:tcPr>
            <w:tcW w:w="1378" w:type="dxa"/>
            <w:tcBorders>
              <w:top w:val="single" w:sz="6" w:space="0" w:color="auto"/>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(t-tср)(Y-Yср)</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2009г.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16384</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-13733,5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2009г.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18201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27600,75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2009г.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17601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9346,75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2009г.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18262</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1424</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8900</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2010г.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17045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465,75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2010г.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16935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2010г.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17011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2010г.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569,25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2011г.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15881</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-5981,25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2011г.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16305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-6529,25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2011г.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14858</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-40095</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2011г.</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30,25</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16482</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-10769</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202056</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-30158</w:t>
            </w:r>
          </w:p>
        </w:tc>
      </w:tr>
      <w:tr w:rsidR="001E3379">
        <w:trPr>
          <w:jc w:val="center"/>
        </w:trPr>
        <w:tc>
          <w:tcPr>
            <w:tcW w:w="1377" w:type="dxa"/>
            <w:tcBorders>
              <w:top w:val="nil"/>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036"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993"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77"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16838</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78" w:type="dxa"/>
            <w:tcBorders>
              <w:top w:val="nil"/>
              <w:left w:val="nil"/>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модели найдем коэффициент детерминации, R2=0,81. Модели с коэффициентом детерминации выше 80% можно признать достаточно хорошими. В нашем случае линейная аппроксимаци значений кредиторской задолженности является достаточно хорошей, следовательно, можно использовать для прогнозирования экономических показателей. Точечный прогноз результативной переменной Y на основе линейной модели парной регрессии при заданном значении факторной переменной tпрогн будет осуществляться по формуле:</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прогн=a+b/tпрогн. (3.12)</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Спрогнозируем значение Y-кредиторской задолженности на 2012 год. Для </w:t>
      </w:r>
      <w:r>
        <w:rPr>
          <w:rFonts w:ascii="Times New Roman CYR" w:hAnsi="Times New Roman CYR" w:cs="Times New Roman CYR"/>
          <w:sz w:val="28"/>
          <w:szCs w:val="28"/>
        </w:rPr>
        <w:lastRenderedPageBreak/>
        <w:t>этого подставим t=13 в нашу модель «Y=16836,05+300,99/t», получим:=1318,23;=1224,07;=1142,47;=1071,06.</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Аппроксимируя данные, получили графике (рис.3.5).</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07000" cy="320865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07000" cy="3208655"/>
                    </a:xfrm>
                    <a:prstGeom prst="rect">
                      <a:avLst/>
                    </a:prstGeom>
                    <a:noFill/>
                    <a:ln>
                      <a:noFill/>
                    </a:ln>
                  </pic:spPr>
                </pic:pic>
              </a:graphicData>
            </a:graphic>
          </wp:inline>
        </w:drawing>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Рис.3.5 - График линейной аппроксимации значений кредиторской задолженности за 2010-2013гг.</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Оценка эффективности предложенных мероприятий</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на основании предложенных мероприятий рассмотрим изменения в структуре дебиторской и кредиторской задолженности прогнозных показателей на четыре квартала вперед, т.е. на 2013 год (таблица 3.8).</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3.8 Прогнозируемые данные дебиторской и кредиторской задолженности МУП «Еланское КХ» на 2013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2723"/>
        <w:gridCol w:w="2596"/>
      </w:tblGrid>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Квартал</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тыс.руб.</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тыс.руб.</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 2012 года</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24915,67</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1318,23</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 2012 года</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23992,58</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1224,07</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 2012 года</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29816,15</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1142,47</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кв. 2012 года</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23098,15</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1071,06</w:t>
            </w:r>
          </w:p>
        </w:tc>
      </w:tr>
      <w:tr w:rsidR="001E3379">
        <w:trPr>
          <w:jc w:val="center"/>
        </w:trPr>
        <w:tc>
          <w:tcPr>
            <w:tcW w:w="18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272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101822,58</w:t>
            </w:r>
          </w:p>
        </w:tc>
        <w:tc>
          <w:tcPr>
            <w:tcW w:w="259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4755,83</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3.8 рассчитаем качественные показатели оборачиваемости дебиторской и кредиторской задолженности и сравним их с показателями за 2010-2012 гг. (рис. 3.6):</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Кодз 2013=12,83;</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Кокз 2013=274,69;</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Подз2013=22 дня;</w:t>
      </w: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Покз2013=2 дня.</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A549E">
        <w:rPr>
          <w:rFonts w:ascii="Microsoft Sans Serif" w:hAnsi="Microsoft Sans Serif" w:cs="Microsoft Sans Serif"/>
          <w:noProof/>
          <w:sz w:val="17"/>
          <w:szCs w:val="17"/>
        </w:rPr>
        <w:lastRenderedPageBreak/>
        <w:drawing>
          <wp:inline distT="0" distB="0" distL="0" distR="0">
            <wp:extent cx="5224145" cy="275145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4145" cy="2751455"/>
                    </a:xfrm>
                    <a:prstGeom prst="rect">
                      <a:avLst/>
                    </a:prstGeom>
                    <a:noFill/>
                    <a:ln>
                      <a:noFill/>
                    </a:ln>
                  </pic:spPr>
                </pic:pic>
              </a:graphicData>
            </a:graphic>
          </wp:inline>
        </w:drawing>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3.6 - Динамика оборачиваемости дебиторской и кредиторской задолженности МУП «Еланское КХ» за 2010 - 2013 гг.</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рис. 3.6 коэффициенты оборачиваемости дебиторской и креди-торской задолженностей увеличиваются на протяжении всех трех лет, а также к прогнозируемому 2013 году. Это говорит о том, что происходит улучшение управления дебиторской задолженностью, а также об улучшении платежной дисциплины МУП «Еланское КХ» в отношениях с поставщиками, бюджетом, внебюджетными фондами, персоналом предприятия, прочими кредиторами - своевременное погашение предприятием своей задолженности перед кредиторами и сокращение покупок с отсрочкой платежа (коммерческого кредита поставщиков).</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ходе проделанной работы по написанию дипломного проекта в первой главе были рассмотрены теоретические аспекты анализа финансово-хозяйственной деятельности предприятия.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финансово-хозяйственной деятельности является необходимым элементом в системе управления предприятия, поскольку является той базой, на которой строится разработка экономической стратегии предприятия. Умение проводить и оценивать итоги анализа финансово-хозяйственной деятельности предприятия позволит принимать квалифицированные управленческие решения по снижению риска и повышению доходности финансово-экономической деятельности предприятия, выявлять факторы и резервы повышения эффективности хозяйственной деятельности предприятий.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финансово-хозяйственной деятельности предприятия - это оценка финансового состояния предприятия и результатов его деятельности. По итогам анализа финансово-хозяйственной деятельности осуществляется выработка почти всех направлений экономической политики предприятия. </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 второй главе дана краткая характеристика предприятия МУП «Еланское КХ», проведён анализ относительных и абсолютных показателей деятельности, по результатам которого можно сделать вывод, что предприятие находится в стабильном состоянии, но при этом наблюдается снижение величины денежных средств из-за роста дебиторской и кредиторской задолженности за счет увеличения запасов готовой продукции, сырья и материалов и необходимости брать кредиты до реализации запасов. Показатели рентабельности продаж и продукции находятся на необходимом для устойчивого положения предприятия уровне. Руководству МУП «Еланское КХ» следует обратить внимание на снижение показателя рентабельность активов. Таким образом, ухудшается использование имущества МУП «Еланское КХ». Увеличение потенциала предприятия за счет привлечения заемных средств нецелесообразно. Необходимо провести грамотную маркетинговую политику для того, чтобы сбыть хранящуюся на складах продукцию в сложившихся на сегодняшний день экономических условиях.</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третьей главе проекта были разработаны мероприятия по улучшению финансовой деятельности предприятия, т.е. по организации производства нового вида продукции, на данный момент пользующегося спросом на рынке. Анализ показал, что данное предприятие рентабельно и сможет в ближайшие сроки обеспечить МУП «Еланское КХ» денежными средствами, пока не начнет расти спрос на авиационную технику. По результатам проведения мероприятия достигается необходимая экономическая эффективность.</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Предлагаются следующие мероприятия по улучшению положения с дебиторами и кредиторами: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Установить систему взыскания долгов. При решении проблемы дебиторской задолженности предприятию необходимо отработать систему взыскания долгов: наиболее употребительными способами воздействия на дебиторов с целью погашения задолженности являются направление писем, телефонные звонки, персональные визиты, продажа задолженности специальным организациям.</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Аккумулировать информацию о состоянии дел клиентов предприятия.</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Для выяснения реальности взыскания долгов с покупателей и долгов, носящих сомнительный характер (задолженность свыше 3 месяцев), необходимо проверить, имеются ли акты сверки расчетов и письма, в которых дебиторы признают свою задолженность, не пропущены ли сроки исковой давности. По долгам, нереальным к взысканию, в установленном порядке сформировать резерв по сомнительным долгам. При наличии оправдательных документов безнадежные долги погасить путем списания их на убытки предприятия как дебиторскую задолженность, по которой истек срок исковой давности. Чтобы управлять дебиторской задолженностью, необходимо строже контролировать выполнение договорных обязательств.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 дебиторской и кредиторской задолженности составлять платежный календарь с разбивкой по кварталам. Предлагается разработать такой вид платежного календаря как «Календарь инкассации дебиторской задолженности». По текущей дебиторской задолженности платежи включаются в календарь в суммах и в сроки, предусмотренные соответствующими договорами (контрактами) с контрагентами. По просроченной дебиторской задолженности эти платежи включаются в данный плановый документ на основе предварительного согласования сторон. Календарь инкассации дебиторской задолженности содержит только один раздел «График поступления денежных средств». В целях отражения реального денежного оборота предприятия датой поступления денежных средств считается день их зачисления на расчетный счет предприятия (это позволяет исключить период флоута в расчетах с дебиторами). Проводить данное мероприятие постоянно.</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Подготавливать юристу списки дебиторов, долг которых превышает более 3-х, 6-ти и 9-ти. Проводить постоянно.</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Ежемесячно (до 15 числа) анализировать исполнение договоров по своевременной оплате покупателей по данным отдела сбыта и бухгалтерии.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 представленным документам отдела сбыта оформить исковые требования по взысканию задолженности с кредиторов.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Ежемесячно производить сверку расчетов (предъявленная сумма и оплата) по всем предприятиям в целях контролирования дебиторской задолженности.</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 целях снижения кредиторской задолженности: на основании проведенного анализа и экономически обоснованных расчетов, разработать </w:t>
      </w:r>
      <w:r>
        <w:rPr>
          <w:rFonts w:ascii="Times New Roman CYR" w:hAnsi="Times New Roman CYR" w:cs="Times New Roman CYR"/>
          <w:sz w:val="28"/>
          <w:szCs w:val="28"/>
        </w:rPr>
        <w:lastRenderedPageBreak/>
        <w:t>дальнейшую стратегию по сбору средств и привлечение источников финансирования, а именно обратиться с просьбой к учредителям предприятия о выделении средств на увеличение уставного капитала и пополнения оборотных средств.</w:t>
      </w: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Спонтанное финансирование, т.е. определение скидок предприятиям за сокращение сроков расчета.</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 литературы</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Федеральный закон от 12.11.1996 г. №129-ФЗ «О бухгалтерском учете» (ред. от 01.02.2012 г.) // Консультант Плюс;</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14.11.2008г. №161-ФЗ «О государственных и муниципальных унитарных предприятиях» (ред. от 01.12.2007 г.) // Консультант Плюс;</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Положение по бухгалтерскому учету от 06.06.1999 г. ПБУ 4/99 «Бухгалтерская отчетность организации» (ред. от 08.11.2010 г.) // Консультант Плюс;</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Герасименко А. Финансовая отчетность для руководителей и начинающих специалистов. - М.: ЭКСМО,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Герасимова Л.Н. Управленческий учет. Учебник для студентов ВУЗов. - М: Феникс,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Гетьман В.Г. Бухгалтерский учет: Учебник. - М.: ИНФРА-М,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Голикова Е.И Бухгалтерский учет и бухгалтерская отчетность. Реформирование. - М.: Дело и сервис,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Головко Н.А. Бухгалтерский учет. - М.: Издательский дом Дашков и К,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Гомола А.И. Бухгалтерский учет. - М.: Академия,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Денисов А.Ю. Справочник бухгалтера. - М.: Дело и сервис,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Дмитриева И.М. Бухгалтерский учет и аудит: Учебное пособие. - М.: Юрайт-Издат,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Друкер П. Эффективный руководитель. - М.: Вильямс,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Друри К. Управленческий и производственный учет. Перевод с английского языка. - М.: ЮНИТИ,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М.А. Бухгалтерский управленческий учет: Учебное пособие. - М.: ИНФРА-М,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Касьянова Г.Ю. Главная книга бухгалтера. - М.: АБАК,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Кожинов В.Я. Управленческий и производственный учет. - М.: Альфа-Пресс, 2009;</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Кондраков Н.П. Самоучитель по бухгалтерскому учету: Практическое пособие. - М.: Прспект,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Крутякова Т.Л. НДС. Вычеты и счета-фактуры. - М.: Айси Групп,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Лытнева Н.А. Учет, анализ и аудит внешнеэкономической деятельности коммерческих организаций. - М.: Форум,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Макарова Л.Г. Бухгалтерский финансовый учет: Учебник. - М.: Вузовский учебник,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Маслова Т.С. Бухгалтерский учет в бюджетных учреждениях. Учебное пособие. - М.: Магистр, 2009;</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Матанцева О.Ю. Основы бухгалтерского учета. - М.: Академия,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Муравицкая Н.К. Бухгалтерский учет. Задачи. - М.: КноРус,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Николаева Г.А. Бухгалтерский учет в торговле. - М.: А-Пиор,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Палий В.Ф. Международные стандарты учета и финансовой отчетности: Учебник. - М.: ИНФРА-М,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Пожидаева Т.А. Практикум по анализу финансовой отчётности. - М.: КноРус,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Поздняков В.Я. Анализ и диагностика финансово-хозяйственной деятельности предприятия. - М.:ИНФРА-М, 2010;</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Пошерстник Н.В. Самоучитель по бухгалтерсому учету. Учебное пособие. - М.: Проспект, 2011;</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Рыбянцева М.С. Бухгалтерская (финансовая) отчетность: Учебное пособие. - М.: ИНФРА-М,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Савин В.Ю Бухгалтерский учет и аудит: Учебник. - М.: Титан Эффект,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Сауничев Н.А. Прикладные финансовые вычисления. - М.: БТИ, 2012;</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Скуратова Т.И. Справочник руководителя и главного бухгалтера. - М.: Эксмо-Пресс, 2010;</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Стражев А.В. Бухгалтерский учет. - М.: Современная школа, 2011. - 944 с.;</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Томшинская Е.Н. Бухгалтерская финансовая отчетнность. Экспресс курс. - М.: Питер, 2011; </w:t>
      </w:r>
    </w:p>
    <w:p w:rsidR="001E3379" w:rsidRDefault="00E63CBB">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Тумасян Р.З. Самоучитель по бухгалтерскому учету. - М.: ЭКСМО, 2012. </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78145" cy="328485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78145" cy="3284855"/>
                    </a:xfrm>
                    <a:prstGeom prst="rect">
                      <a:avLst/>
                    </a:prstGeom>
                    <a:noFill/>
                    <a:ln>
                      <a:noFill/>
                    </a:ln>
                  </pic:spPr>
                </pic:pic>
              </a:graphicData>
            </a:graphic>
          </wp:inline>
        </w:drawing>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Численность работников МУП «Еланское КХ»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783"/>
        <w:gridCol w:w="1436"/>
        <w:gridCol w:w="1417"/>
        <w:gridCol w:w="1276"/>
      </w:tblGrid>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 Кол-во, ед.</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 Кол-во, ед.</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 Кол-во, ед.</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Зам.гл. бухгалтера</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Юрист</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Секретарь</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производственного штата</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 начальника пр. штата</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Рабочие </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r>
      <w:tr w:rsidR="001E3379">
        <w:trPr>
          <w:jc w:val="center"/>
        </w:trPr>
        <w:tc>
          <w:tcPr>
            <w:tcW w:w="7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78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143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417"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276"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 МУП «Еланское КХ» за 2010-2012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709"/>
        <w:gridCol w:w="1135"/>
        <w:gridCol w:w="1134"/>
        <w:gridCol w:w="1134"/>
      </w:tblGrid>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показателя </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 тыс.руб.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2011 год, тыс.руб.</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2012 год, тыс.руб.</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0"/>
                <w:szCs w:val="20"/>
              </w:rPr>
              <w:t>АКТИВ &lt;http://blanker.ru/doc/buhgalterskiy-balans&gt;</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8"/>
                <w:szCs w:val="28"/>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8"/>
                <w:szCs w:val="28"/>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8"/>
                <w:szCs w:val="28"/>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8"/>
                <w:szCs w:val="28"/>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5798</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220030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222251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228382</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Здания </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80341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103714</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76350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65635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54593</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Передаточные устройства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41052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43052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57087</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12467</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Инвентарь</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строительство</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15597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27798</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2803</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231505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245948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266017</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65586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135493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128214</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Сырье, материалы и др.аналогичные ценности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54529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95425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89535</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29182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32658</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5979</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запасы и затраты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16422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20935</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ожидаются более чем через 12 мес.после отчетной даты)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ожидаются в течение 12 мес.после отчетной даты)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44525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111011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96202</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Покупатели и заказчики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14940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76822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75445</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Денежные средства </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6434</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134235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254206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251785</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365740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500154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517802</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III. КАПИТАЛ И РЕЗЕРВЫ </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 (складочный капитал, уставный фонд, вклады товарищей)</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Добавочный капитал </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173369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173482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174306</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5328</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66985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131599</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244828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284436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311359</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15233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108083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92992</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Отложенные налоговые обязательства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16099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14915</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IV</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15243</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124192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107917</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709"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5"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3379" w:rsidRDefault="001E3379">
            <w:pPr>
              <w:widowControl w:val="0"/>
              <w:autoSpaceDE w:val="0"/>
              <w:autoSpaceDN w:val="0"/>
              <w:adjustRightInd w:val="0"/>
              <w:spacing w:after="0" w:line="240" w:lineRule="auto"/>
              <w:rPr>
                <w:rFonts w:ascii="Times New Roman CYR" w:hAnsi="Times New Roman CYR" w:cs="Times New Roman CYR"/>
                <w:sz w:val="20"/>
                <w:szCs w:val="20"/>
              </w:rPr>
            </w:pP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35221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35000</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70448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68082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63526</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Поставщики и заказчики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57876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58088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53229</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персоналом организации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2982</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3011</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6292</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гос. внебюджетными фондами</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2095</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6018</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3297</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1495</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участниками (учредителями) по выплате доходов</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Резервы предстоящих доходов</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105669</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91526</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98526</w:t>
            </w:r>
          </w:p>
        </w:tc>
      </w:tr>
      <w:tr w:rsidR="001E3379">
        <w:trPr>
          <w:jc w:val="center"/>
        </w:trPr>
        <w:tc>
          <w:tcPr>
            <w:tcW w:w="478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70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135"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365740</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500154</w:t>
            </w:r>
          </w:p>
        </w:tc>
        <w:tc>
          <w:tcPr>
            <w:tcW w:w="113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517802</w:t>
            </w:r>
          </w:p>
        </w:tc>
      </w:tr>
    </w:tbl>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1E3379" w:rsidRDefault="001E337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активов МУП «Еланское КХ» за 2010-2012 гг.</w:t>
      </w: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1655" cy="2303145"/>
            <wp:effectExtent l="0" t="0" r="0" b="190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51655" cy="2303145"/>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36745" cy="245554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36745" cy="2455545"/>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60545" cy="2125345"/>
            <wp:effectExtent l="0" t="0" r="1905"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60545" cy="2125345"/>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Динамика пассивов МУП «Еланское КХ» за 2010-2012 гг.</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79545" cy="2353945"/>
            <wp:effectExtent l="0" t="0" r="1905"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79545" cy="2353945"/>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45255" cy="255714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45255" cy="2557145"/>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60800" cy="221805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60800" cy="2218055"/>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3A549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30800" cy="3403600"/>
            <wp:effectExtent l="0" t="0" r="0" b="635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30800" cy="3403600"/>
                    </a:xfrm>
                    <a:prstGeom prst="rect">
                      <a:avLst/>
                    </a:prstGeom>
                    <a:noFill/>
                    <a:ln>
                      <a:noFill/>
                    </a:ln>
                  </pic:spPr>
                </pic:pic>
              </a:graphicData>
            </a:graphic>
          </wp:inline>
        </w:drawing>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6</w:t>
      </w:r>
    </w:p>
    <w:p w:rsidR="001E3379" w:rsidRDefault="001E337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E3379" w:rsidRDefault="00E63CBB">
      <w:pPr>
        <w:widowControl w:val="0"/>
        <w:suppressAutoHyphen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 МУП «Еланское КХ» за 2010 - 2012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20"/>
        <w:gridCol w:w="704"/>
        <w:gridCol w:w="1559"/>
        <w:gridCol w:w="1701"/>
        <w:gridCol w:w="1763"/>
      </w:tblGrid>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показателя </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2009 год, тыс.руб.</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2010 год, тыс.руб.</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2011 год, тыс.руб.</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87021</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1307452</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1306341</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(654975)</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(988715)</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(987604)</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(убыток)</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215446</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319848</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318737</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(89581)</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(133259)</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(132148)</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(40082)</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(57007)</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(55896)</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85783</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131804</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130693</w:t>
            </w:r>
          </w:p>
        </w:tc>
      </w:tr>
      <w:tr w:rsidR="001E3379">
        <w:trPr>
          <w:jc w:val="center"/>
        </w:trPr>
        <w:tc>
          <w:tcPr>
            <w:tcW w:w="9047" w:type="dxa"/>
            <w:gridSpan w:val="5"/>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 и расходы</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2699</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3095</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1984</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(11713)</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(17822)</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(16711)</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3447</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10526</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9415</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(6920)</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(29254)</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(28143)</w:t>
            </w:r>
          </w:p>
        </w:tc>
      </w:tr>
      <w:tr w:rsidR="001E3379">
        <w:trPr>
          <w:jc w:val="center"/>
        </w:trPr>
        <w:tc>
          <w:tcPr>
            <w:tcW w:w="9047" w:type="dxa"/>
            <w:gridSpan w:val="5"/>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Капитализированная прибыль зависимых обществ</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73296</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98345</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97238</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2343</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1232</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3794</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4905</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3794</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(17591)</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(26388)</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(25277)</w:t>
            </w:r>
          </w:p>
        </w:tc>
      </w:tr>
      <w:tr w:rsidR="001E3379">
        <w:trPr>
          <w:jc w:val="center"/>
        </w:trPr>
        <w:tc>
          <w:tcPr>
            <w:tcW w:w="3320"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w:t>
            </w:r>
          </w:p>
        </w:tc>
        <w:tc>
          <w:tcPr>
            <w:tcW w:w="704"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559"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55705</w:t>
            </w:r>
          </w:p>
        </w:tc>
        <w:tc>
          <w:tcPr>
            <w:tcW w:w="1701"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70510</w:t>
            </w:r>
          </w:p>
        </w:tc>
        <w:tc>
          <w:tcPr>
            <w:tcW w:w="1763" w:type="dxa"/>
            <w:tcBorders>
              <w:top w:val="single" w:sz="6" w:space="0" w:color="auto"/>
              <w:left w:val="single" w:sz="6" w:space="0" w:color="auto"/>
              <w:bottom w:val="single" w:sz="6" w:space="0" w:color="auto"/>
              <w:right w:val="single" w:sz="6" w:space="0" w:color="auto"/>
            </w:tcBorders>
          </w:tcPr>
          <w:p w:rsidR="001E3379" w:rsidRDefault="00E63CB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55705</w:t>
            </w:r>
          </w:p>
        </w:tc>
      </w:tr>
    </w:tbl>
    <w:p w:rsidR="005756ED" w:rsidRPr="00655958" w:rsidRDefault="005756ED" w:rsidP="005756ED">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5756ED" w:rsidRPr="00E210ED" w:rsidTr="00BF6D22">
        <w:tc>
          <w:tcPr>
            <w:tcW w:w="3227" w:type="dxa"/>
            <w:tcBorders>
              <w:top w:val="single" w:sz="4" w:space="0" w:color="auto"/>
              <w:left w:val="single" w:sz="4" w:space="0" w:color="auto"/>
              <w:bottom w:val="single" w:sz="4" w:space="0" w:color="auto"/>
              <w:right w:val="single" w:sz="4" w:space="0" w:color="auto"/>
            </w:tcBorders>
          </w:tcPr>
          <w:p w:rsidR="005756ED" w:rsidRPr="00E210ED" w:rsidRDefault="005756ED" w:rsidP="00BF6D22">
            <w:pPr>
              <w:spacing w:line="480" w:lineRule="auto"/>
              <w:jc w:val="center"/>
              <w:rPr>
                <w:rFonts w:ascii="Times New Roman CYR" w:eastAsia="Calibri" w:hAnsi="Times New Roman CYR" w:cs="Times New Roman CYR"/>
                <w:sz w:val="24"/>
                <w:szCs w:val="24"/>
              </w:rPr>
            </w:pPr>
          </w:p>
          <w:p w:rsidR="005756ED" w:rsidRPr="00E210ED" w:rsidRDefault="005756ED" w:rsidP="00BF6D22">
            <w:pPr>
              <w:spacing w:line="480" w:lineRule="auto"/>
              <w:jc w:val="center"/>
              <w:rPr>
                <w:rFonts w:eastAsia="Calibri"/>
                <w:lang w:val="en-US"/>
              </w:rPr>
            </w:pPr>
            <w:hyperlink r:id="rId108"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756ED" w:rsidRPr="00E210ED" w:rsidRDefault="005756ED" w:rsidP="00BF6D22">
            <w:pPr>
              <w:spacing w:line="480" w:lineRule="auto"/>
              <w:jc w:val="center"/>
              <w:rPr>
                <w:rFonts w:eastAsia="Calibri"/>
                <w:lang w:val="en-US"/>
              </w:rPr>
            </w:pPr>
            <w:r w:rsidRPr="00E210ED">
              <w:rPr>
                <w:rFonts w:eastAsia="Calibri"/>
                <w:noProof/>
              </w:rPr>
              <w:drawing>
                <wp:inline distT="0" distB="0" distL="0" distR="0" wp14:anchorId="19FDA3AF" wp14:editId="327D3104">
                  <wp:extent cx="3784600" cy="1257300"/>
                  <wp:effectExtent l="0" t="0" r="6350" b="0"/>
                  <wp:docPr id="1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756ED" w:rsidRPr="00E210ED" w:rsidRDefault="005756ED" w:rsidP="005756ED">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5756ED" w:rsidRPr="00E210ED" w:rsidTr="00BF6D22">
        <w:tc>
          <w:tcPr>
            <w:tcW w:w="4952" w:type="dxa"/>
            <w:tcBorders>
              <w:top w:val="single" w:sz="4" w:space="0" w:color="auto"/>
              <w:left w:val="single" w:sz="4" w:space="0" w:color="auto"/>
              <w:bottom w:val="single" w:sz="4" w:space="0" w:color="auto"/>
              <w:right w:val="single" w:sz="4" w:space="0" w:color="auto"/>
            </w:tcBorders>
          </w:tcPr>
          <w:p w:rsidR="005756ED" w:rsidRPr="00E210ED" w:rsidRDefault="005756ED" w:rsidP="00BF6D22">
            <w:pPr>
              <w:spacing w:line="480" w:lineRule="auto"/>
              <w:jc w:val="center"/>
              <w:rPr>
                <w:rFonts w:ascii="Times New Roman CYR" w:eastAsia="Calibri" w:hAnsi="Times New Roman CYR" w:cs="Times New Roman CYR"/>
                <w:sz w:val="24"/>
                <w:szCs w:val="24"/>
              </w:rPr>
            </w:pPr>
          </w:p>
          <w:p w:rsidR="005756ED" w:rsidRPr="00E210ED" w:rsidRDefault="005756ED" w:rsidP="00BF6D22">
            <w:pPr>
              <w:spacing w:line="480" w:lineRule="auto"/>
              <w:jc w:val="center"/>
              <w:rPr>
                <w:rFonts w:eastAsia="Calibri"/>
              </w:rPr>
            </w:pPr>
            <w:hyperlink r:id="rId110"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756ED" w:rsidRPr="00E210ED" w:rsidRDefault="005756ED" w:rsidP="00BF6D22">
            <w:pPr>
              <w:spacing w:line="480" w:lineRule="auto"/>
              <w:jc w:val="center"/>
              <w:rPr>
                <w:rFonts w:eastAsia="Calibri"/>
              </w:rPr>
            </w:pPr>
            <w:r w:rsidRPr="00E210ED">
              <w:rPr>
                <w:rFonts w:eastAsia="Calibri"/>
                <w:noProof/>
              </w:rPr>
              <w:drawing>
                <wp:inline distT="0" distB="0" distL="0" distR="0" wp14:anchorId="07CE2206" wp14:editId="09FC032B">
                  <wp:extent cx="2184400" cy="1962150"/>
                  <wp:effectExtent l="0" t="0" r="6350" b="0"/>
                  <wp:docPr id="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756ED" w:rsidRPr="00E210ED" w:rsidRDefault="005756ED" w:rsidP="005756ED">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5756ED"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756ED" w:rsidRPr="00E210ED" w:rsidRDefault="005756ED" w:rsidP="00BF6D22">
            <w:pPr>
              <w:spacing w:line="480" w:lineRule="auto"/>
              <w:jc w:val="center"/>
              <w:rPr>
                <w:rFonts w:ascii="Times New Roman CYR" w:eastAsia="Calibri" w:hAnsi="Times New Roman CYR" w:cs="Times New Roman CYR"/>
                <w:sz w:val="24"/>
                <w:szCs w:val="24"/>
              </w:rPr>
            </w:pPr>
          </w:p>
          <w:p w:rsidR="005756ED" w:rsidRPr="00E210ED" w:rsidRDefault="005756ED" w:rsidP="00BF6D22">
            <w:pPr>
              <w:spacing w:line="480" w:lineRule="auto"/>
              <w:jc w:val="center"/>
              <w:rPr>
                <w:rFonts w:ascii="Arial Black" w:eastAsia="Calibri" w:hAnsi="Arial Black" w:cs="Arial"/>
                <w:b/>
                <w:sz w:val="28"/>
                <w:szCs w:val="28"/>
              </w:rPr>
            </w:pPr>
            <w:hyperlink r:id="rId112"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756ED" w:rsidRPr="00E210ED" w:rsidRDefault="005756ED"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24124AEF" wp14:editId="6CD18325">
                  <wp:extent cx="1600200" cy="1600200"/>
                  <wp:effectExtent l="0" t="0" r="0" b="0"/>
                  <wp:docPr id="1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756ED" w:rsidRPr="00E210ED" w:rsidRDefault="005756ED" w:rsidP="005756ED">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5756ED" w:rsidRPr="00E210ED" w:rsidTr="00BF6D22">
        <w:tc>
          <w:tcPr>
            <w:tcW w:w="3652" w:type="dxa"/>
            <w:tcBorders>
              <w:top w:val="single" w:sz="4" w:space="0" w:color="auto"/>
              <w:left w:val="single" w:sz="4" w:space="0" w:color="auto"/>
              <w:bottom w:val="single" w:sz="4" w:space="0" w:color="auto"/>
              <w:right w:val="single" w:sz="4" w:space="0" w:color="auto"/>
            </w:tcBorders>
          </w:tcPr>
          <w:p w:rsidR="005756ED" w:rsidRPr="00E210ED" w:rsidRDefault="005756ED" w:rsidP="00BF6D22">
            <w:pPr>
              <w:spacing w:line="480" w:lineRule="auto"/>
              <w:jc w:val="center"/>
              <w:rPr>
                <w:rFonts w:ascii="Times New Roman CYR" w:eastAsia="Calibri" w:hAnsi="Times New Roman CYR" w:cs="Times New Roman CYR"/>
                <w:sz w:val="24"/>
                <w:szCs w:val="24"/>
              </w:rPr>
            </w:pPr>
          </w:p>
          <w:p w:rsidR="005756ED" w:rsidRPr="00E210ED" w:rsidRDefault="005756ED" w:rsidP="00BF6D22">
            <w:pPr>
              <w:spacing w:line="480" w:lineRule="auto"/>
              <w:jc w:val="center"/>
              <w:rPr>
                <w:rFonts w:eastAsia="Calibri"/>
                <w:lang w:val="en-US"/>
              </w:rPr>
            </w:pPr>
            <w:hyperlink r:id="rId114"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756ED" w:rsidRPr="00E210ED" w:rsidRDefault="005756ED" w:rsidP="00BF6D22">
            <w:pPr>
              <w:spacing w:line="480" w:lineRule="auto"/>
              <w:jc w:val="center"/>
              <w:rPr>
                <w:rFonts w:eastAsia="Calibri"/>
                <w:lang w:val="en-US"/>
              </w:rPr>
            </w:pPr>
            <w:r w:rsidRPr="00E210ED">
              <w:rPr>
                <w:rFonts w:eastAsia="Calibri"/>
                <w:noProof/>
              </w:rPr>
              <w:drawing>
                <wp:inline distT="0" distB="0" distL="0" distR="0" wp14:anchorId="3CA117DB" wp14:editId="0B1CF851">
                  <wp:extent cx="3752850" cy="1841500"/>
                  <wp:effectExtent l="0" t="0" r="0" b="6350"/>
                  <wp:docPr id="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756ED" w:rsidRPr="00E210ED" w:rsidRDefault="005756ED" w:rsidP="005756ED">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5756ED" w:rsidRPr="00E210ED" w:rsidTr="00BF6D22">
        <w:tc>
          <w:tcPr>
            <w:tcW w:w="3936" w:type="dxa"/>
            <w:tcBorders>
              <w:top w:val="single" w:sz="4" w:space="0" w:color="auto"/>
              <w:left w:val="single" w:sz="4" w:space="0" w:color="auto"/>
              <w:bottom w:val="single" w:sz="4" w:space="0" w:color="auto"/>
              <w:right w:val="single" w:sz="4" w:space="0" w:color="auto"/>
            </w:tcBorders>
          </w:tcPr>
          <w:p w:rsidR="005756ED" w:rsidRPr="00E210ED" w:rsidRDefault="005756ED" w:rsidP="00BF6D22">
            <w:pPr>
              <w:jc w:val="center"/>
              <w:rPr>
                <w:rFonts w:ascii="Times New Roman CYR" w:eastAsia="Calibri" w:hAnsi="Times New Roman CYR" w:cs="Times New Roman CYR"/>
                <w:sz w:val="24"/>
                <w:szCs w:val="24"/>
              </w:rPr>
            </w:pPr>
          </w:p>
          <w:p w:rsidR="005756ED" w:rsidRPr="00E210ED" w:rsidRDefault="005756ED" w:rsidP="00BF6D22">
            <w:pPr>
              <w:jc w:val="center"/>
              <w:rPr>
                <w:rFonts w:eastAsia="Calibri"/>
              </w:rPr>
            </w:pPr>
            <w:hyperlink r:id="rId116"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756ED" w:rsidRPr="00E210ED" w:rsidRDefault="005756ED" w:rsidP="00BF6D22">
            <w:pPr>
              <w:jc w:val="center"/>
              <w:rPr>
                <w:rFonts w:eastAsia="Calibri"/>
              </w:rPr>
            </w:pPr>
            <w:r w:rsidRPr="00E210ED">
              <w:rPr>
                <w:rFonts w:eastAsia="Calibri"/>
                <w:noProof/>
              </w:rPr>
              <w:drawing>
                <wp:inline distT="0" distB="0" distL="0" distR="0" wp14:anchorId="716EE109" wp14:editId="45BC1D84">
                  <wp:extent cx="2806700" cy="1873250"/>
                  <wp:effectExtent l="0" t="0" r="0" b="0"/>
                  <wp:docPr id="1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63CBB" w:rsidRDefault="00E63CB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E63CBB">
      <w:headerReference w:type="even" r:id="rId118"/>
      <w:headerReference w:type="default" r:id="rId119"/>
      <w:footerReference w:type="even" r:id="rId120"/>
      <w:footerReference w:type="default" r:id="rId121"/>
      <w:headerReference w:type="first" r:id="rId122"/>
      <w:footerReference w:type="first" r:id="rId1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07" w:rsidRDefault="00211B07" w:rsidP="0030399E">
      <w:pPr>
        <w:spacing w:after="0" w:line="240" w:lineRule="auto"/>
      </w:pPr>
      <w:r>
        <w:separator/>
      </w:r>
    </w:p>
  </w:endnote>
  <w:endnote w:type="continuationSeparator" w:id="0">
    <w:p w:rsidR="00211B07" w:rsidRDefault="00211B07" w:rsidP="00303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9E" w:rsidRDefault="0030399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9E" w:rsidRDefault="0030399E" w:rsidP="0030399E">
    <w:pPr>
      <w:pStyle w:val="a5"/>
    </w:pPr>
    <w:r>
      <w:t xml:space="preserve">Вернуться в каталог готовых дипломов и магистерских диссертаций </w:t>
    </w:r>
  </w:p>
  <w:p w:rsidR="0030399E" w:rsidRDefault="0030399E" w:rsidP="0030399E">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9E" w:rsidRDefault="0030399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07" w:rsidRDefault="00211B07" w:rsidP="0030399E">
      <w:pPr>
        <w:spacing w:after="0" w:line="240" w:lineRule="auto"/>
      </w:pPr>
      <w:r>
        <w:separator/>
      </w:r>
    </w:p>
  </w:footnote>
  <w:footnote w:type="continuationSeparator" w:id="0">
    <w:p w:rsidR="00211B07" w:rsidRDefault="00211B07" w:rsidP="003039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9E" w:rsidRDefault="0030399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317" w:rsidRDefault="00630317" w:rsidP="00630317">
    <w:pPr>
      <w:pStyle w:val="a3"/>
    </w:pPr>
    <w:r>
      <w:t>Узнайте стоимость написания на заказ студенческих и аспирантских работ</w:t>
    </w:r>
  </w:p>
  <w:p w:rsidR="0030399E" w:rsidRDefault="00630317" w:rsidP="0063031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9E" w:rsidRDefault="0030399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9E"/>
    <w:rsid w:val="001272AB"/>
    <w:rsid w:val="001E3379"/>
    <w:rsid w:val="00211B07"/>
    <w:rsid w:val="002F10C7"/>
    <w:rsid w:val="0030399E"/>
    <w:rsid w:val="003A549E"/>
    <w:rsid w:val="005756ED"/>
    <w:rsid w:val="00630317"/>
    <w:rsid w:val="00E45C61"/>
    <w:rsid w:val="00E63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39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399E"/>
  </w:style>
  <w:style w:type="paragraph" w:styleId="a5">
    <w:name w:val="footer"/>
    <w:basedOn w:val="a"/>
    <w:link w:val="a6"/>
    <w:uiPriority w:val="99"/>
    <w:unhideWhenUsed/>
    <w:rsid w:val="003039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399E"/>
  </w:style>
  <w:style w:type="table" w:customStyle="1" w:styleId="2">
    <w:name w:val="Сетка таблицы2"/>
    <w:basedOn w:val="a1"/>
    <w:uiPriority w:val="59"/>
    <w:rsid w:val="005756ED"/>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756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6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39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399E"/>
  </w:style>
  <w:style w:type="paragraph" w:styleId="a5">
    <w:name w:val="footer"/>
    <w:basedOn w:val="a"/>
    <w:link w:val="a6"/>
    <w:uiPriority w:val="99"/>
    <w:unhideWhenUsed/>
    <w:rsid w:val="003039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399E"/>
  </w:style>
  <w:style w:type="table" w:customStyle="1" w:styleId="2">
    <w:name w:val="Сетка таблицы2"/>
    <w:basedOn w:val="a1"/>
    <w:uiPriority w:val="59"/>
    <w:rsid w:val="005756ED"/>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756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6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5.png"/><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hyperlink" Target="http://&#1091;&#1095;&#1077;&#1073;&#1085;&#1080;&#1082;&#1080;.&#1080;&#1085;&#1092;&#1086;&#1088;&#1084;2000.&#1088;&#1092;/lectr.shtml" TargetMode="External"/><Relationship Id="rId16" Type="http://schemas.openxmlformats.org/officeDocument/2006/relationships/image" Target="media/image9.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4.wmf"/><Relationship Id="rId82" Type="http://schemas.openxmlformats.org/officeDocument/2006/relationships/image" Target="media/image75.wmf"/><Relationship Id="rId90" Type="http://schemas.openxmlformats.org/officeDocument/2006/relationships/image" Target="media/image83.wmf"/><Relationship Id="rId95" Type="http://schemas.openxmlformats.org/officeDocument/2006/relationships/image" Target="media/image88.wmf"/><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13" Type="http://schemas.openxmlformats.org/officeDocument/2006/relationships/image" Target="media/image103.png"/><Relationship Id="rId11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image" Target="media/image96.wmf"/><Relationship Id="rId108" Type="http://schemas.openxmlformats.org/officeDocument/2006/relationships/hyperlink" Target="http://&#1091;&#1095;&#1077;&#1073;&#1085;&#1080;&#1082;&#1080;.&#1080;&#1085;&#1092;&#1086;&#1088;&#1084;2000.&#1088;&#1092;/chitai.shtml" TargetMode="External"/><Relationship Id="rId116" Type="http://schemas.openxmlformats.org/officeDocument/2006/relationships/hyperlink" Target="http://&#1091;&#1095;&#1077;&#1073;&#1085;&#1080;&#1082;&#1080;.&#1080;&#1085;&#1092;&#1086;&#1088;&#1084;2000.&#1088;&#1092;/fit1.shtml" TargetMode="External"/><Relationship Id="rId124"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wmf"/><Relationship Id="rId111" Type="http://schemas.openxmlformats.org/officeDocument/2006/relationships/image" Target="media/image102.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9.wmf"/><Relationship Id="rId114" Type="http://schemas.openxmlformats.org/officeDocument/2006/relationships/hyperlink" Target="http://&#1091;&#1095;&#1077;&#1073;&#1085;&#1080;&#1082;&#1080;.&#1080;&#1085;&#1092;&#1086;&#1088;&#1084;2000.&#1088;&#1092;/otu.shtml" TargetMode="External"/><Relationship Id="rId119" Type="http://schemas.openxmlformats.org/officeDocument/2006/relationships/header" Target="header2.xml"/><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1.png"/><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4.wmf"/><Relationship Id="rId92" Type="http://schemas.openxmlformats.org/officeDocument/2006/relationships/image" Target="media/image85.wmf"/><Relationship Id="rId2" Type="http://schemas.microsoft.com/office/2007/relationships/stylesWithEffects" Target="stylesWithEffect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hyperlink" Target="http://&#1091;&#1095;&#1077;&#1073;&#1085;&#1080;&#1082;&#1080;.&#1080;&#1085;&#1092;&#1086;&#1088;&#1084;2000.&#1088;&#1092;/kar.shtml" TargetMode="External"/><Relationship Id="rId115" Type="http://schemas.openxmlformats.org/officeDocument/2006/relationships/image" Target="media/image10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20621</Words>
  <Characters>117546</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2023-02-12T14:08:00Z</dcterms:created>
  <dcterms:modified xsi:type="dcterms:W3CDTF">2023-05-12T04:00:00Z</dcterms:modified>
</cp:coreProperties>
</file>